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598F" w14:textId="7CA30193" w:rsidR="009510BF" w:rsidRPr="009615B7" w:rsidRDefault="009510BF" w:rsidP="009510BF">
      <w:pPr>
        <w:spacing w:after="300" w:line="240" w:lineRule="auto"/>
        <w:textAlignment w:val="baseline"/>
        <w:outlineLvl w:val="1"/>
        <w:rPr>
          <w:rFonts w:ascii="Arial" w:eastAsia="Times New Roman" w:hAnsi="Arial" w:cs="Arial"/>
          <w:b/>
          <w:bCs/>
          <w:color w:val="FF0000"/>
          <w:sz w:val="20"/>
          <w:szCs w:val="20"/>
          <w:lang w:eastAsia="en-GB"/>
        </w:rPr>
      </w:pPr>
      <w:r w:rsidRPr="009615B7">
        <w:rPr>
          <w:rFonts w:ascii="Arial" w:eastAsia="Times New Roman" w:hAnsi="Arial" w:cs="Arial"/>
          <w:b/>
          <w:bCs/>
          <w:color w:val="FF0000"/>
          <w:sz w:val="20"/>
          <w:szCs w:val="20"/>
          <w:lang w:eastAsia="en-GB"/>
        </w:rPr>
        <w:t>Churchfields Pupil Premium Strategy 21-22</w:t>
      </w:r>
    </w:p>
    <w:p w14:paraId="38539D82" w14:textId="45E3B80B" w:rsidR="009510BF" w:rsidRPr="009615B7" w:rsidRDefault="009510BF" w:rsidP="009510BF">
      <w:pPr>
        <w:spacing w:after="300" w:line="240" w:lineRule="auto"/>
        <w:textAlignment w:val="baseline"/>
        <w:outlineLvl w:val="1"/>
        <w:rPr>
          <w:rFonts w:ascii="Arial" w:eastAsia="Times New Roman" w:hAnsi="Arial" w:cs="Arial"/>
          <w:b/>
          <w:bCs/>
          <w:color w:val="000000"/>
          <w:sz w:val="20"/>
          <w:szCs w:val="20"/>
          <w:lang w:eastAsia="en-GB"/>
        </w:rPr>
      </w:pPr>
      <w:r w:rsidRPr="009615B7">
        <w:rPr>
          <w:rFonts w:ascii="Arial" w:eastAsia="Times New Roman" w:hAnsi="Arial" w:cs="Arial"/>
          <w:b/>
          <w:bCs/>
          <w:color w:val="000000"/>
          <w:sz w:val="20"/>
          <w:szCs w:val="20"/>
          <w:lang w:eastAsia="en-GB"/>
        </w:rPr>
        <w:t>This statement details our school’s use of pupil premium (and recovery premium for the 2021 to 2022 academic year) funding to help improve the attainment of our disadvantaged pupils.</w:t>
      </w:r>
    </w:p>
    <w:p w14:paraId="7ACE5CCA" w14:textId="77777777" w:rsidR="009510BF" w:rsidRPr="009615B7" w:rsidRDefault="009510BF" w:rsidP="009510BF">
      <w:pPr>
        <w:spacing w:before="375" w:after="300" w:line="240" w:lineRule="auto"/>
        <w:textAlignment w:val="baseline"/>
        <w:outlineLvl w:val="1"/>
        <w:rPr>
          <w:rFonts w:ascii="Arial" w:eastAsia="Times New Roman" w:hAnsi="Arial" w:cs="Arial"/>
          <w:b/>
          <w:bCs/>
          <w:color w:val="000000"/>
          <w:sz w:val="20"/>
          <w:szCs w:val="20"/>
          <w:lang w:eastAsia="en-GB"/>
        </w:rPr>
      </w:pPr>
      <w:r w:rsidRPr="009615B7">
        <w:rPr>
          <w:rFonts w:ascii="Arial" w:eastAsia="Times New Roman" w:hAnsi="Arial" w:cs="Arial"/>
          <w:b/>
          <w:bCs/>
          <w:color w:val="000000"/>
          <w:sz w:val="20"/>
          <w:szCs w:val="20"/>
          <w:lang w:eastAsia="en-GB"/>
        </w:rPr>
        <w:t>It outlines our pupil premium strategy, how we intend to spend the funding in this academic year and the effect that last year’s spending of pupil premium had within our school.</w:t>
      </w:r>
    </w:p>
    <w:p w14:paraId="59CAA60B" w14:textId="77777777" w:rsidR="009510BF" w:rsidRPr="009615B7" w:rsidRDefault="009510BF" w:rsidP="009510BF">
      <w:pPr>
        <w:spacing w:before="375" w:after="300" w:line="240" w:lineRule="auto"/>
        <w:textAlignment w:val="baseline"/>
        <w:outlineLvl w:val="1"/>
        <w:rPr>
          <w:rFonts w:ascii="Arial" w:eastAsia="Times New Roman" w:hAnsi="Arial" w:cs="Arial"/>
          <w:b/>
          <w:bCs/>
          <w:color w:val="000000"/>
          <w:sz w:val="20"/>
          <w:szCs w:val="20"/>
          <w:lang w:eastAsia="en-GB"/>
        </w:rPr>
      </w:pPr>
      <w:r w:rsidRPr="009615B7">
        <w:rPr>
          <w:rFonts w:ascii="Arial" w:eastAsia="Times New Roman" w:hAnsi="Arial" w:cs="Arial"/>
          <w:b/>
          <w:bCs/>
          <w:color w:val="000000"/>
          <w:sz w:val="20"/>
          <w:szCs w:val="20"/>
          <w:lang w:eastAsia="en-GB"/>
        </w:rPr>
        <w:t>School overview</w:t>
      </w:r>
    </w:p>
    <w:tbl>
      <w:tblPr>
        <w:tblW w:w="0" w:type="auto"/>
        <w:tblBorders>
          <w:left w:val="single" w:sz="6" w:space="0" w:color="000000"/>
          <w:bottom w:val="single" w:sz="6" w:space="0" w:color="000000"/>
        </w:tblBorders>
        <w:tblCellMar>
          <w:left w:w="0" w:type="dxa"/>
          <w:right w:w="0" w:type="dxa"/>
        </w:tblCellMar>
        <w:tblLook w:val="04A0" w:firstRow="1" w:lastRow="0" w:firstColumn="1" w:lastColumn="0" w:noHBand="0" w:noVBand="1"/>
      </w:tblPr>
      <w:tblGrid>
        <w:gridCol w:w="6726"/>
        <w:gridCol w:w="2280"/>
      </w:tblGrid>
      <w:tr w:rsidR="009510BF" w:rsidRPr="009615B7" w14:paraId="4AE00E32" w14:textId="77777777" w:rsidTr="009510BF">
        <w:tc>
          <w:tcPr>
            <w:tcW w:w="0" w:type="auto"/>
            <w:tcBorders>
              <w:top w:val="single" w:sz="8" w:space="0" w:color="000000"/>
              <w:left w:val="single" w:sz="8" w:space="0" w:color="000000"/>
              <w:bottom w:val="single" w:sz="8" w:space="0" w:color="000000"/>
              <w:right w:val="single" w:sz="8" w:space="0" w:color="000000"/>
            </w:tcBorders>
            <w:shd w:val="clear" w:color="auto" w:fill="D8E2E9"/>
            <w:tcMar>
              <w:top w:w="150" w:type="dxa"/>
              <w:left w:w="150" w:type="dxa"/>
              <w:bottom w:w="150" w:type="dxa"/>
              <w:right w:w="150" w:type="dxa"/>
            </w:tcMar>
            <w:hideMark/>
          </w:tcPr>
          <w:p w14:paraId="4E50ED28"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Detail</w:t>
            </w:r>
          </w:p>
        </w:tc>
        <w:tc>
          <w:tcPr>
            <w:tcW w:w="0" w:type="auto"/>
            <w:tcBorders>
              <w:top w:val="single" w:sz="8" w:space="0" w:color="000000"/>
              <w:left w:val="nil"/>
              <w:bottom w:val="single" w:sz="8" w:space="0" w:color="000000"/>
              <w:right w:val="single" w:sz="8" w:space="0" w:color="000000"/>
            </w:tcBorders>
            <w:shd w:val="clear" w:color="auto" w:fill="D8E2E9"/>
            <w:tcMar>
              <w:top w:w="150" w:type="dxa"/>
              <w:left w:w="150" w:type="dxa"/>
              <w:bottom w:w="150" w:type="dxa"/>
              <w:right w:w="150" w:type="dxa"/>
            </w:tcMar>
            <w:hideMark/>
          </w:tcPr>
          <w:p w14:paraId="11A6E65C"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Data</w:t>
            </w:r>
          </w:p>
        </w:tc>
      </w:tr>
      <w:tr w:rsidR="009510BF" w:rsidRPr="009615B7" w14:paraId="29C0EB04"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108D658A"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School name</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1B7D1CA7"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Churchfields Primary School</w:t>
            </w:r>
          </w:p>
        </w:tc>
      </w:tr>
      <w:tr w:rsidR="009510BF" w:rsidRPr="009615B7" w14:paraId="1D9DFF81"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6904C2B4"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Number of pupils in school</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76AE73D1"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457</w:t>
            </w:r>
          </w:p>
        </w:tc>
      </w:tr>
      <w:tr w:rsidR="009510BF" w:rsidRPr="009615B7" w14:paraId="366BC5CA"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515FC4F7"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Proportion (%) of pupil premium eligible pupils</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62140E0C"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12%</w:t>
            </w:r>
          </w:p>
        </w:tc>
      </w:tr>
      <w:tr w:rsidR="009510BF" w:rsidRPr="009615B7" w14:paraId="3980DA8D"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5F8FB1A5"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Academic year/years that our current pupil premium strategy plan covers </w:t>
            </w:r>
            <w:r w:rsidRPr="009615B7">
              <w:rPr>
                <w:rFonts w:ascii="Arial" w:eastAsia="Times New Roman" w:hAnsi="Arial" w:cs="Arial"/>
                <w:b/>
                <w:bCs/>
                <w:color w:val="3C3C3C"/>
                <w:sz w:val="20"/>
                <w:szCs w:val="20"/>
                <w:bdr w:val="none" w:sz="0" w:space="0" w:color="auto" w:frame="1"/>
                <w:lang w:eastAsia="en-GB"/>
              </w:rPr>
              <w:t>(</w:t>
            </w:r>
            <w:proofErr w:type="gramStart"/>
            <w:r w:rsidRPr="009615B7">
              <w:rPr>
                <w:rFonts w:ascii="Arial" w:eastAsia="Times New Roman" w:hAnsi="Arial" w:cs="Arial"/>
                <w:b/>
                <w:bCs/>
                <w:color w:val="3C3C3C"/>
                <w:sz w:val="20"/>
                <w:szCs w:val="20"/>
                <w:bdr w:val="none" w:sz="0" w:space="0" w:color="auto" w:frame="1"/>
                <w:lang w:eastAsia="en-GB"/>
              </w:rPr>
              <w:t>3 year</w:t>
            </w:r>
            <w:proofErr w:type="gramEnd"/>
            <w:r w:rsidRPr="009615B7">
              <w:rPr>
                <w:rFonts w:ascii="Arial" w:eastAsia="Times New Roman" w:hAnsi="Arial" w:cs="Arial"/>
                <w:b/>
                <w:bCs/>
                <w:color w:val="3C3C3C"/>
                <w:sz w:val="20"/>
                <w:szCs w:val="20"/>
                <w:bdr w:val="none" w:sz="0" w:space="0" w:color="auto" w:frame="1"/>
                <w:lang w:eastAsia="en-GB"/>
              </w:rPr>
              <w:t xml:space="preserve"> plans are recommended)</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269EE9EC"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2021 - 2024</w:t>
            </w:r>
          </w:p>
        </w:tc>
      </w:tr>
      <w:tr w:rsidR="009510BF" w:rsidRPr="009615B7" w14:paraId="7A20ECFE"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1F4D2891"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Date this statement was published</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6E1A183E"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January 2022</w:t>
            </w:r>
          </w:p>
        </w:tc>
      </w:tr>
      <w:tr w:rsidR="009510BF" w:rsidRPr="009615B7" w14:paraId="2C180832"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5C30D0D2"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Date on which it will be reviewed</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57C7EE91"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July 2022</w:t>
            </w:r>
          </w:p>
        </w:tc>
      </w:tr>
      <w:tr w:rsidR="009510BF" w:rsidRPr="009615B7" w14:paraId="6F6AD9E4"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30FF1FA3"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Statement authorised by</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466D6FE7"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 xml:space="preserve">Tom </w:t>
            </w:r>
            <w:proofErr w:type="spellStart"/>
            <w:r w:rsidRPr="009615B7">
              <w:rPr>
                <w:rFonts w:ascii="Arial" w:eastAsia="Times New Roman" w:hAnsi="Arial" w:cs="Arial"/>
                <w:color w:val="3C3C3C"/>
                <w:sz w:val="20"/>
                <w:szCs w:val="20"/>
                <w:lang w:eastAsia="en-GB"/>
              </w:rPr>
              <w:t>Hyndley</w:t>
            </w:r>
            <w:proofErr w:type="spellEnd"/>
            <w:r w:rsidRPr="009615B7">
              <w:rPr>
                <w:rFonts w:ascii="Arial" w:eastAsia="Times New Roman" w:hAnsi="Arial" w:cs="Arial"/>
                <w:color w:val="3C3C3C"/>
                <w:sz w:val="20"/>
                <w:szCs w:val="20"/>
                <w:lang w:eastAsia="en-GB"/>
              </w:rPr>
              <w:t xml:space="preserve"> (Head)</w:t>
            </w:r>
          </w:p>
        </w:tc>
      </w:tr>
      <w:tr w:rsidR="009510BF" w:rsidRPr="009615B7" w14:paraId="41C80A6C"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7135EC06"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Pupil premium lead</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3CAC871C"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Sally White</w:t>
            </w:r>
          </w:p>
        </w:tc>
      </w:tr>
      <w:tr w:rsidR="009510BF" w:rsidRPr="009615B7" w14:paraId="62746498"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3244B57D"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Governor / Trustee lead</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10F3579A"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Karen Parkinson</w:t>
            </w:r>
          </w:p>
        </w:tc>
      </w:tr>
    </w:tbl>
    <w:p w14:paraId="2643F728"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Funding overview</w:t>
      </w:r>
    </w:p>
    <w:tbl>
      <w:tblPr>
        <w:tblW w:w="0" w:type="auto"/>
        <w:tblBorders>
          <w:left w:val="single" w:sz="6" w:space="0" w:color="000000"/>
          <w:bottom w:val="single" w:sz="6" w:space="0" w:color="000000"/>
        </w:tblBorders>
        <w:tblCellMar>
          <w:left w:w="0" w:type="dxa"/>
          <w:right w:w="0" w:type="dxa"/>
        </w:tblCellMar>
        <w:tblLook w:val="04A0" w:firstRow="1" w:lastRow="0" w:firstColumn="1" w:lastColumn="0" w:noHBand="0" w:noVBand="1"/>
      </w:tblPr>
      <w:tblGrid>
        <w:gridCol w:w="5492"/>
        <w:gridCol w:w="1135"/>
      </w:tblGrid>
      <w:tr w:rsidR="009510BF" w:rsidRPr="009615B7" w14:paraId="38AA8292" w14:textId="77777777" w:rsidTr="009510BF">
        <w:tc>
          <w:tcPr>
            <w:tcW w:w="0" w:type="auto"/>
            <w:tcBorders>
              <w:top w:val="single" w:sz="8" w:space="0" w:color="000000"/>
              <w:left w:val="single" w:sz="8" w:space="0" w:color="000000"/>
              <w:bottom w:val="single" w:sz="8" w:space="0" w:color="000000"/>
              <w:right w:val="single" w:sz="8" w:space="0" w:color="000000"/>
            </w:tcBorders>
            <w:shd w:val="clear" w:color="auto" w:fill="D8E2E9"/>
            <w:tcMar>
              <w:top w:w="150" w:type="dxa"/>
              <w:left w:w="150" w:type="dxa"/>
              <w:bottom w:w="150" w:type="dxa"/>
              <w:right w:w="150" w:type="dxa"/>
            </w:tcMar>
            <w:hideMark/>
          </w:tcPr>
          <w:p w14:paraId="186D8E81"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Detail</w:t>
            </w:r>
          </w:p>
        </w:tc>
        <w:tc>
          <w:tcPr>
            <w:tcW w:w="0" w:type="auto"/>
            <w:tcBorders>
              <w:top w:val="single" w:sz="8" w:space="0" w:color="000000"/>
              <w:left w:val="nil"/>
              <w:bottom w:val="single" w:sz="8" w:space="0" w:color="000000"/>
              <w:right w:val="single" w:sz="8" w:space="0" w:color="000000"/>
            </w:tcBorders>
            <w:shd w:val="clear" w:color="auto" w:fill="D8E2E9"/>
            <w:tcMar>
              <w:top w:w="150" w:type="dxa"/>
              <w:left w:w="150" w:type="dxa"/>
              <w:bottom w:w="150" w:type="dxa"/>
              <w:right w:w="150" w:type="dxa"/>
            </w:tcMar>
            <w:hideMark/>
          </w:tcPr>
          <w:p w14:paraId="3E009D97"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Amount</w:t>
            </w:r>
          </w:p>
        </w:tc>
      </w:tr>
      <w:tr w:rsidR="009510BF" w:rsidRPr="009615B7" w14:paraId="5AA22B09"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005FF748"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Pupil premium funding allocation this academic year</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7C9E2945"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£70,770</w:t>
            </w:r>
          </w:p>
        </w:tc>
      </w:tr>
      <w:tr w:rsidR="009510BF" w:rsidRPr="009615B7" w14:paraId="6FD31735"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1A59E0F2"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Recovery premium funding allocation this academic year</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0517743E"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£40,280</w:t>
            </w:r>
          </w:p>
        </w:tc>
      </w:tr>
      <w:tr w:rsidR="009510BF" w:rsidRPr="009615B7" w14:paraId="22F58825"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102E3E4C"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Pupil premium funding carried forward from previous years</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5918AEC4"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£0</w:t>
            </w:r>
          </w:p>
        </w:tc>
      </w:tr>
      <w:tr w:rsidR="009510BF" w:rsidRPr="009615B7" w14:paraId="1EA6F2BE"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4074BF58"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Total budget for this academic year</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59DD6CE2"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£111,050</w:t>
            </w:r>
          </w:p>
        </w:tc>
      </w:tr>
    </w:tbl>
    <w:p w14:paraId="05BB384C" w14:textId="77777777" w:rsidR="009510BF" w:rsidRPr="009615B7" w:rsidRDefault="009510BF" w:rsidP="009510BF">
      <w:pPr>
        <w:spacing w:before="180" w:after="18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 </w:t>
      </w:r>
    </w:p>
    <w:p w14:paraId="7A6B63D8" w14:textId="77777777" w:rsidR="009510BF" w:rsidRPr="009615B7" w:rsidRDefault="009510BF" w:rsidP="009510BF">
      <w:pPr>
        <w:shd w:val="clear" w:color="auto" w:fill="EE1A31"/>
        <w:spacing w:after="300" w:line="570" w:lineRule="atLeast"/>
        <w:ind w:left="-300" w:firstLine="300"/>
        <w:textAlignment w:val="baseline"/>
        <w:outlineLvl w:val="0"/>
        <w:rPr>
          <w:rFonts w:ascii="Arial" w:eastAsia="Times New Roman" w:hAnsi="Arial" w:cs="Arial"/>
          <w:b/>
          <w:bCs/>
          <w:caps/>
          <w:color w:val="FFFFFF"/>
          <w:kern w:val="36"/>
          <w:sz w:val="20"/>
          <w:szCs w:val="20"/>
          <w:lang w:eastAsia="en-GB"/>
        </w:rPr>
      </w:pPr>
      <w:r w:rsidRPr="009615B7">
        <w:rPr>
          <w:rFonts w:ascii="Arial" w:eastAsia="Times New Roman" w:hAnsi="Arial" w:cs="Arial"/>
          <w:b/>
          <w:bCs/>
          <w:caps/>
          <w:color w:val="FFFFFF"/>
          <w:kern w:val="36"/>
          <w:sz w:val="20"/>
          <w:szCs w:val="20"/>
          <w:lang w:eastAsia="en-GB"/>
        </w:rPr>
        <w:t>PART A: PUPIL PREMIUM STRATEGY PLAN</w:t>
      </w:r>
    </w:p>
    <w:p w14:paraId="04E24411" w14:textId="77777777" w:rsidR="009510BF" w:rsidRPr="009615B7" w:rsidRDefault="009510BF" w:rsidP="009510BF">
      <w:pPr>
        <w:spacing w:after="300" w:line="240" w:lineRule="auto"/>
        <w:textAlignment w:val="baseline"/>
        <w:outlineLvl w:val="1"/>
        <w:rPr>
          <w:rFonts w:ascii="Arial" w:eastAsia="Times New Roman" w:hAnsi="Arial" w:cs="Arial"/>
          <w:b/>
          <w:bCs/>
          <w:color w:val="000000"/>
          <w:sz w:val="20"/>
          <w:szCs w:val="20"/>
          <w:lang w:eastAsia="en-GB"/>
        </w:rPr>
      </w:pPr>
      <w:r w:rsidRPr="009615B7">
        <w:rPr>
          <w:rFonts w:ascii="Arial" w:eastAsia="Times New Roman" w:hAnsi="Arial" w:cs="Arial"/>
          <w:b/>
          <w:bCs/>
          <w:color w:val="000000"/>
          <w:sz w:val="20"/>
          <w:szCs w:val="20"/>
          <w:lang w:eastAsia="en-GB"/>
        </w:rPr>
        <w:t>Statement of intent</w:t>
      </w:r>
    </w:p>
    <w:tbl>
      <w:tblPr>
        <w:tblW w:w="0" w:type="auto"/>
        <w:tblCellMar>
          <w:left w:w="0" w:type="dxa"/>
          <w:right w:w="0" w:type="dxa"/>
        </w:tblCellMar>
        <w:tblLook w:val="04A0" w:firstRow="1" w:lastRow="0" w:firstColumn="1" w:lastColumn="0" w:noHBand="0" w:noVBand="1"/>
      </w:tblPr>
      <w:tblGrid>
        <w:gridCol w:w="9006"/>
      </w:tblGrid>
      <w:tr w:rsidR="009510BF" w:rsidRPr="009615B7" w14:paraId="28716227" w14:textId="77777777" w:rsidTr="009510BF">
        <w:tc>
          <w:tcPr>
            <w:tcW w:w="0" w:type="auto"/>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7759F78B"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lastRenderedPageBreak/>
              <w:t>Ultimately we aim to ensure there is no attainment gap between disadvantaged children and their peers.</w:t>
            </w:r>
          </w:p>
          <w:p w14:paraId="517A989D"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We use pupil premium funding to support strategies that help all children to achieve and succeed. </w:t>
            </w:r>
          </w:p>
          <w:p w14:paraId="673DA875"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The key principles of our strategy plan are:</w:t>
            </w:r>
          </w:p>
          <w:p w14:paraId="43748026"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         First and foremost, </w:t>
            </w:r>
            <w:r w:rsidRPr="009615B7">
              <w:rPr>
                <w:rFonts w:ascii="Arial" w:eastAsia="Times New Roman" w:hAnsi="Arial" w:cs="Arial"/>
                <w:b/>
                <w:bCs/>
                <w:color w:val="3C3C3C"/>
                <w:sz w:val="20"/>
                <w:szCs w:val="20"/>
                <w:bdr w:val="none" w:sz="0" w:space="0" w:color="auto" w:frame="1"/>
                <w:lang w:eastAsia="en-GB"/>
              </w:rPr>
              <w:t>Quality First Education</w:t>
            </w:r>
            <w:r w:rsidRPr="009615B7">
              <w:rPr>
                <w:rFonts w:ascii="Arial" w:eastAsia="Times New Roman" w:hAnsi="Arial" w:cs="Arial"/>
                <w:color w:val="3C3C3C"/>
                <w:sz w:val="20"/>
                <w:szCs w:val="20"/>
                <w:lang w:eastAsia="en-GB"/>
              </w:rPr>
              <w:t>. High quality teaching is pivotal in improving outcomes for all children, and can narrow the disadvantage gap.</w:t>
            </w:r>
          </w:p>
          <w:p w14:paraId="6764FE01"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         Providing </w:t>
            </w:r>
            <w:r w:rsidRPr="009615B7">
              <w:rPr>
                <w:rFonts w:ascii="Arial" w:eastAsia="Times New Roman" w:hAnsi="Arial" w:cs="Arial"/>
                <w:b/>
                <w:bCs/>
                <w:color w:val="3C3C3C"/>
                <w:sz w:val="20"/>
                <w:szCs w:val="20"/>
                <w:bdr w:val="none" w:sz="0" w:space="0" w:color="auto" w:frame="1"/>
                <w:lang w:eastAsia="en-GB"/>
              </w:rPr>
              <w:t>Whatever It Takes</w:t>
            </w:r>
            <w:r w:rsidRPr="009615B7">
              <w:rPr>
                <w:rFonts w:ascii="Arial" w:eastAsia="Times New Roman" w:hAnsi="Arial" w:cs="Arial"/>
                <w:color w:val="3C3C3C"/>
                <w:sz w:val="20"/>
                <w:szCs w:val="20"/>
                <w:lang w:eastAsia="en-GB"/>
              </w:rPr>
              <w:t> for those who need additional support or time to achieve their potential, through both teaching interventions and targeted social/emotional support.</w:t>
            </w:r>
          </w:p>
        </w:tc>
      </w:tr>
    </w:tbl>
    <w:p w14:paraId="20CF3A53" w14:textId="77777777" w:rsidR="009510BF" w:rsidRPr="009615B7" w:rsidRDefault="009510BF" w:rsidP="009510BF">
      <w:pPr>
        <w:spacing w:before="375" w:after="300" w:line="240" w:lineRule="auto"/>
        <w:textAlignment w:val="baseline"/>
        <w:outlineLvl w:val="1"/>
        <w:rPr>
          <w:rFonts w:ascii="Arial" w:eastAsia="Times New Roman" w:hAnsi="Arial" w:cs="Arial"/>
          <w:b/>
          <w:bCs/>
          <w:color w:val="000000"/>
          <w:sz w:val="20"/>
          <w:szCs w:val="20"/>
          <w:lang w:eastAsia="en-GB"/>
        </w:rPr>
      </w:pPr>
      <w:r w:rsidRPr="009615B7">
        <w:rPr>
          <w:rFonts w:ascii="Arial" w:eastAsia="Times New Roman" w:hAnsi="Arial" w:cs="Arial"/>
          <w:b/>
          <w:bCs/>
          <w:color w:val="000000"/>
          <w:sz w:val="20"/>
          <w:szCs w:val="20"/>
          <w:lang w:eastAsia="en-GB"/>
        </w:rPr>
        <w:t>Challenges</w:t>
      </w:r>
    </w:p>
    <w:p w14:paraId="48FD58EB" w14:textId="77777777" w:rsidR="009510BF" w:rsidRPr="009615B7" w:rsidRDefault="009510BF" w:rsidP="009510BF">
      <w:pPr>
        <w:spacing w:after="18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This details the key challenges to achievement that we have identified among our disadvantaged pupils.</w:t>
      </w:r>
    </w:p>
    <w:tbl>
      <w:tblPr>
        <w:tblW w:w="0" w:type="auto"/>
        <w:tblBorders>
          <w:left w:val="single" w:sz="6" w:space="0" w:color="000000"/>
          <w:bottom w:val="single" w:sz="6" w:space="0" w:color="000000"/>
        </w:tblBorders>
        <w:tblCellMar>
          <w:left w:w="0" w:type="dxa"/>
          <w:right w:w="0" w:type="dxa"/>
        </w:tblCellMar>
        <w:tblLook w:val="04A0" w:firstRow="1" w:lastRow="0" w:firstColumn="1" w:lastColumn="0" w:noHBand="0" w:noVBand="1"/>
      </w:tblPr>
      <w:tblGrid>
        <w:gridCol w:w="1448"/>
        <w:gridCol w:w="7558"/>
      </w:tblGrid>
      <w:tr w:rsidR="009510BF" w:rsidRPr="009615B7" w14:paraId="661F9F3F" w14:textId="77777777" w:rsidTr="009510BF">
        <w:tc>
          <w:tcPr>
            <w:tcW w:w="0" w:type="auto"/>
            <w:tcBorders>
              <w:top w:val="single" w:sz="8" w:space="0" w:color="000000"/>
              <w:left w:val="single" w:sz="8" w:space="0" w:color="000000"/>
              <w:bottom w:val="single" w:sz="8" w:space="0" w:color="000000"/>
              <w:right w:val="single" w:sz="8" w:space="0" w:color="000000"/>
            </w:tcBorders>
            <w:shd w:val="clear" w:color="auto" w:fill="D8E2E9"/>
            <w:tcMar>
              <w:top w:w="150" w:type="dxa"/>
              <w:left w:w="150" w:type="dxa"/>
              <w:bottom w:w="150" w:type="dxa"/>
              <w:right w:w="150" w:type="dxa"/>
            </w:tcMar>
            <w:hideMark/>
          </w:tcPr>
          <w:p w14:paraId="3A491640"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Challenge number</w:t>
            </w:r>
          </w:p>
        </w:tc>
        <w:tc>
          <w:tcPr>
            <w:tcW w:w="0" w:type="auto"/>
            <w:tcBorders>
              <w:top w:val="single" w:sz="8" w:space="0" w:color="000000"/>
              <w:left w:val="nil"/>
              <w:bottom w:val="single" w:sz="8" w:space="0" w:color="000000"/>
              <w:right w:val="single" w:sz="8" w:space="0" w:color="000000"/>
            </w:tcBorders>
            <w:shd w:val="clear" w:color="auto" w:fill="D8E2E9"/>
            <w:tcMar>
              <w:top w:w="150" w:type="dxa"/>
              <w:left w:w="150" w:type="dxa"/>
              <w:bottom w:w="150" w:type="dxa"/>
              <w:right w:w="150" w:type="dxa"/>
            </w:tcMar>
            <w:hideMark/>
          </w:tcPr>
          <w:p w14:paraId="20E757CA"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Detail of challenge</w:t>
            </w:r>
          </w:p>
        </w:tc>
      </w:tr>
      <w:tr w:rsidR="009510BF" w:rsidRPr="009615B7" w14:paraId="23F29DB8"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662D1CEF"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1</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6BBBEFFD"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SEND:</w:t>
            </w:r>
            <w:r w:rsidRPr="009615B7">
              <w:rPr>
                <w:rFonts w:ascii="Arial" w:eastAsia="Times New Roman" w:hAnsi="Arial" w:cs="Arial"/>
                <w:color w:val="3C3C3C"/>
                <w:sz w:val="20"/>
                <w:szCs w:val="20"/>
                <w:lang w:eastAsia="en-GB"/>
              </w:rPr>
              <w:t> Pupils eligible for pupil premium make up a significant proportion of our children on the SEND register, in EHCPs and in our resource based (ARC) classes. </w:t>
            </w:r>
          </w:p>
        </w:tc>
      </w:tr>
      <w:tr w:rsidR="009510BF" w:rsidRPr="009615B7" w14:paraId="02A95036"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2D996965"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2</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716D2174"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Attendance:</w:t>
            </w:r>
            <w:r w:rsidRPr="009615B7">
              <w:rPr>
                <w:rFonts w:ascii="Arial" w:eastAsia="Times New Roman" w:hAnsi="Arial" w:cs="Arial"/>
                <w:color w:val="3C3C3C"/>
                <w:sz w:val="20"/>
                <w:szCs w:val="20"/>
                <w:lang w:eastAsia="en-GB"/>
              </w:rPr>
              <w:t> Pupils eligible for pupil premium make up a significant proportion of our children who have persistently low attendance and/or school avoidance.</w:t>
            </w:r>
          </w:p>
        </w:tc>
      </w:tr>
      <w:tr w:rsidR="009510BF" w:rsidRPr="009615B7" w14:paraId="3F901041"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3476DED7"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3</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4F4FB2ED"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Impact of covid-19: </w:t>
            </w:r>
            <w:r w:rsidRPr="009615B7">
              <w:rPr>
                <w:rFonts w:ascii="Arial" w:eastAsia="Times New Roman" w:hAnsi="Arial" w:cs="Arial"/>
                <w:color w:val="3C3C3C"/>
                <w:sz w:val="20"/>
                <w:szCs w:val="20"/>
                <w:lang w:eastAsia="en-GB"/>
              </w:rPr>
              <w:t>Younger children (particularly year 1 and year 2) appear to have been disproportionately affected by the partial school closures during the pandemic.</w:t>
            </w:r>
          </w:p>
        </w:tc>
      </w:tr>
      <w:tr w:rsidR="009510BF" w:rsidRPr="009615B7" w14:paraId="5317A9CB"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14CC6582"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4</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005EE22E"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Access to wider opportunities:</w:t>
            </w:r>
            <w:r w:rsidRPr="009615B7">
              <w:rPr>
                <w:rFonts w:ascii="Arial" w:eastAsia="Times New Roman" w:hAnsi="Arial" w:cs="Arial"/>
                <w:color w:val="3C3C3C"/>
                <w:sz w:val="20"/>
                <w:szCs w:val="20"/>
                <w:lang w:eastAsia="en-GB"/>
              </w:rPr>
              <w:t>  Pupils eligible for pupil premium have significantly less access to wider opportunities/experiences/enrichment than their peers.</w:t>
            </w:r>
          </w:p>
        </w:tc>
      </w:tr>
    </w:tbl>
    <w:p w14:paraId="4DD9BB98" w14:textId="77777777" w:rsidR="009510BF" w:rsidRPr="009615B7" w:rsidRDefault="009510BF" w:rsidP="009510BF">
      <w:pPr>
        <w:spacing w:before="375" w:after="300" w:line="240" w:lineRule="auto"/>
        <w:textAlignment w:val="baseline"/>
        <w:outlineLvl w:val="1"/>
        <w:rPr>
          <w:rFonts w:ascii="Arial" w:eastAsia="Times New Roman" w:hAnsi="Arial" w:cs="Arial"/>
          <w:b/>
          <w:bCs/>
          <w:color w:val="000000"/>
          <w:sz w:val="20"/>
          <w:szCs w:val="20"/>
          <w:lang w:eastAsia="en-GB"/>
        </w:rPr>
      </w:pPr>
      <w:r w:rsidRPr="009615B7">
        <w:rPr>
          <w:rFonts w:ascii="Arial" w:eastAsia="Times New Roman" w:hAnsi="Arial" w:cs="Arial"/>
          <w:b/>
          <w:bCs/>
          <w:color w:val="000000"/>
          <w:sz w:val="20"/>
          <w:szCs w:val="20"/>
          <w:lang w:eastAsia="en-GB"/>
        </w:rPr>
        <w:t>Intended outcomes</w:t>
      </w:r>
    </w:p>
    <w:p w14:paraId="34FE9F32"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This explains the outcomes we are aiming for </w:t>
      </w:r>
      <w:r w:rsidRPr="009615B7">
        <w:rPr>
          <w:rFonts w:ascii="Arial" w:eastAsia="Times New Roman" w:hAnsi="Arial" w:cs="Arial"/>
          <w:b/>
          <w:bCs/>
          <w:color w:val="3C3C3C"/>
          <w:sz w:val="20"/>
          <w:szCs w:val="20"/>
          <w:bdr w:val="none" w:sz="0" w:space="0" w:color="auto" w:frame="1"/>
          <w:lang w:eastAsia="en-GB"/>
        </w:rPr>
        <w:t>by the end of our current strategy plan</w:t>
      </w:r>
      <w:r w:rsidRPr="009615B7">
        <w:rPr>
          <w:rFonts w:ascii="Arial" w:eastAsia="Times New Roman" w:hAnsi="Arial" w:cs="Arial"/>
          <w:color w:val="3C3C3C"/>
          <w:sz w:val="20"/>
          <w:szCs w:val="20"/>
          <w:lang w:eastAsia="en-GB"/>
        </w:rPr>
        <w:t>, and how we will measure whether they have been achieved.</w:t>
      </w:r>
    </w:p>
    <w:tbl>
      <w:tblPr>
        <w:tblW w:w="0" w:type="auto"/>
        <w:tblBorders>
          <w:left w:val="single" w:sz="6" w:space="0" w:color="000000"/>
          <w:bottom w:val="single" w:sz="6" w:space="0" w:color="000000"/>
        </w:tblBorders>
        <w:tblCellMar>
          <w:left w:w="0" w:type="dxa"/>
          <w:right w:w="0" w:type="dxa"/>
        </w:tblCellMar>
        <w:tblLook w:val="04A0" w:firstRow="1" w:lastRow="0" w:firstColumn="1" w:lastColumn="0" w:noHBand="0" w:noVBand="1"/>
      </w:tblPr>
      <w:tblGrid>
        <w:gridCol w:w="1841"/>
        <w:gridCol w:w="7165"/>
      </w:tblGrid>
      <w:tr w:rsidR="009510BF" w:rsidRPr="009615B7" w14:paraId="4A460CDA" w14:textId="77777777" w:rsidTr="009510BF">
        <w:tc>
          <w:tcPr>
            <w:tcW w:w="0" w:type="auto"/>
            <w:tcBorders>
              <w:top w:val="single" w:sz="8" w:space="0" w:color="000000"/>
              <w:left w:val="single" w:sz="8" w:space="0" w:color="000000"/>
              <w:bottom w:val="single" w:sz="8" w:space="0" w:color="000000"/>
              <w:right w:val="single" w:sz="8" w:space="0" w:color="000000"/>
            </w:tcBorders>
            <w:shd w:val="clear" w:color="auto" w:fill="D8E2E9"/>
            <w:tcMar>
              <w:top w:w="150" w:type="dxa"/>
              <w:left w:w="150" w:type="dxa"/>
              <w:bottom w:w="150" w:type="dxa"/>
              <w:right w:w="150" w:type="dxa"/>
            </w:tcMar>
            <w:hideMark/>
          </w:tcPr>
          <w:p w14:paraId="272E0700"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Intended outcome</w:t>
            </w:r>
          </w:p>
        </w:tc>
        <w:tc>
          <w:tcPr>
            <w:tcW w:w="0" w:type="auto"/>
            <w:tcBorders>
              <w:top w:val="single" w:sz="8" w:space="0" w:color="000000"/>
              <w:left w:val="nil"/>
              <w:bottom w:val="single" w:sz="8" w:space="0" w:color="000000"/>
              <w:right w:val="single" w:sz="8" w:space="0" w:color="000000"/>
            </w:tcBorders>
            <w:shd w:val="clear" w:color="auto" w:fill="D8E2E9"/>
            <w:tcMar>
              <w:top w:w="150" w:type="dxa"/>
              <w:left w:w="150" w:type="dxa"/>
              <w:bottom w:w="150" w:type="dxa"/>
              <w:right w:w="150" w:type="dxa"/>
            </w:tcMar>
            <w:hideMark/>
          </w:tcPr>
          <w:p w14:paraId="2BCF4991"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Success criteria</w:t>
            </w:r>
          </w:p>
        </w:tc>
      </w:tr>
      <w:tr w:rsidR="009510BF" w:rsidRPr="009615B7" w14:paraId="6A25121A"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7C67E47A"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Close gaps in attainment</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38B521FE"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 xml:space="preserve">Outcomes by the end of KS2 are as good as those for </w:t>
            </w:r>
            <w:proofErr w:type="gramStart"/>
            <w:r w:rsidRPr="009615B7">
              <w:rPr>
                <w:rFonts w:ascii="Arial" w:eastAsia="Times New Roman" w:hAnsi="Arial" w:cs="Arial"/>
                <w:color w:val="3C3C3C"/>
                <w:sz w:val="20"/>
                <w:szCs w:val="20"/>
                <w:lang w:eastAsia="en-GB"/>
              </w:rPr>
              <w:t>Non PP</w:t>
            </w:r>
            <w:proofErr w:type="gramEnd"/>
            <w:r w:rsidRPr="009615B7">
              <w:rPr>
                <w:rFonts w:ascii="Arial" w:eastAsia="Times New Roman" w:hAnsi="Arial" w:cs="Arial"/>
                <w:color w:val="3C3C3C"/>
                <w:sz w:val="20"/>
                <w:szCs w:val="20"/>
                <w:lang w:eastAsia="en-GB"/>
              </w:rPr>
              <w:t xml:space="preserve"> children.</w:t>
            </w:r>
          </w:p>
          <w:p w14:paraId="17E5E8EA"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Children at each key stage are able to access their next phase of learning, and are ‘secondary ready’ by the time they leave us. </w:t>
            </w:r>
          </w:p>
        </w:tc>
      </w:tr>
      <w:tr w:rsidR="009510BF" w:rsidRPr="009615B7" w14:paraId="6C36D93A"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2B345905"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Build social capital</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1247EC09"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Children experience a broad range of experiences both within the taught curriculum and through extra-curricular activities.</w:t>
            </w:r>
          </w:p>
        </w:tc>
      </w:tr>
      <w:tr w:rsidR="009510BF" w:rsidRPr="009615B7" w14:paraId="71F8F497"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0F387C9C"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Emotional wellbeing</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05112DF0"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Children and families are supported to develop into mature and responsible young people with the social and emotional skills to deal with challenges.</w:t>
            </w:r>
          </w:p>
          <w:p w14:paraId="7F1C0BAD" w14:textId="3DC882C3"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 xml:space="preserve">Behaviour records show that behaviour for pupils eligible for pupil premium is </w:t>
            </w:r>
            <w:r w:rsidR="00770AFA">
              <w:rPr>
                <w:rFonts w:ascii="Arial" w:eastAsia="Times New Roman" w:hAnsi="Arial" w:cs="Arial"/>
                <w:color w:val="3C3C3C"/>
                <w:sz w:val="20"/>
                <w:szCs w:val="20"/>
                <w:lang w:eastAsia="en-GB"/>
              </w:rPr>
              <w:t xml:space="preserve">in </w:t>
            </w:r>
            <w:r w:rsidRPr="009615B7">
              <w:rPr>
                <w:rFonts w:ascii="Arial" w:eastAsia="Times New Roman" w:hAnsi="Arial" w:cs="Arial"/>
                <w:color w:val="3C3C3C"/>
                <w:sz w:val="20"/>
                <w:szCs w:val="20"/>
                <w:lang w:eastAsia="en-GB"/>
              </w:rPr>
              <w:t>line with behaviour for pupils in school generally. </w:t>
            </w:r>
          </w:p>
        </w:tc>
      </w:tr>
    </w:tbl>
    <w:p w14:paraId="76CC31B9" w14:textId="77777777" w:rsidR="009510BF" w:rsidRPr="009615B7" w:rsidRDefault="009510BF" w:rsidP="009510BF">
      <w:pPr>
        <w:spacing w:before="375" w:after="300" w:line="240" w:lineRule="auto"/>
        <w:textAlignment w:val="baseline"/>
        <w:outlineLvl w:val="1"/>
        <w:rPr>
          <w:rFonts w:ascii="Arial" w:eastAsia="Times New Roman" w:hAnsi="Arial" w:cs="Arial"/>
          <w:b/>
          <w:bCs/>
          <w:color w:val="000000"/>
          <w:sz w:val="20"/>
          <w:szCs w:val="20"/>
          <w:lang w:eastAsia="en-GB"/>
        </w:rPr>
      </w:pPr>
      <w:r w:rsidRPr="009615B7">
        <w:rPr>
          <w:rFonts w:ascii="Arial" w:eastAsia="Times New Roman" w:hAnsi="Arial" w:cs="Arial"/>
          <w:b/>
          <w:bCs/>
          <w:color w:val="000000"/>
          <w:sz w:val="20"/>
          <w:szCs w:val="20"/>
          <w:lang w:eastAsia="en-GB"/>
        </w:rPr>
        <w:lastRenderedPageBreak/>
        <w:t>Activity in this academic year</w:t>
      </w:r>
    </w:p>
    <w:p w14:paraId="129C8391"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This details how we intend to spend our pupil premium (and recovery premium funding) </w:t>
      </w:r>
      <w:r w:rsidRPr="009615B7">
        <w:rPr>
          <w:rFonts w:ascii="Arial" w:eastAsia="Times New Roman" w:hAnsi="Arial" w:cs="Arial"/>
          <w:b/>
          <w:bCs/>
          <w:color w:val="3C3C3C"/>
          <w:sz w:val="20"/>
          <w:szCs w:val="20"/>
          <w:bdr w:val="none" w:sz="0" w:space="0" w:color="auto" w:frame="1"/>
          <w:lang w:eastAsia="en-GB"/>
        </w:rPr>
        <w:t>this academic year</w:t>
      </w:r>
      <w:r w:rsidRPr="009615B7">
        <w:rPr>
          <w:rFonts w:ascii="Arial" w:eastAsia="Times New Roman" w:hAnsi="Arial" w:cs="Arial"/>
          <w:color w:val="3C3C3C"/>
          <w:sz w:val="20"/>
          <w:szCs w:val="20"/>
          <w:lang w:eastAsia="en-GB"/>
        </w:rPr>
        <w:t> to address the challenges listed above.</w:t>
      </w:r>
    </w:p>
    <w:p w14:paraId="197000CF" w14:textId="77777777" w:rsidR="009510BF" w:rsidRPr="009615B7" w:rsidRDefault="009510BF" w:rsidP="009510BF">
      <w:pPr>
        <w:spacing w:after="0" w:line="240" w:lineRule="auto"/>
        <w:textAlignment w:val="baseline"/>
        <w:outlineLvl w:val="1"/>
        <w:rPr>
          <w:rFonts w:ascii="Arial" w:eastAsia="Times New Roman" w:hAnsi="Arial" w:cs="Arial"/>
          <w:b/>
          <w:bCs/>
          <w:color w:val="000000"/>
          <w:sz w:val="20"/>
          <w:szCs w:val="20"/>
          <w:lang w:eastAsia="en-GB"/>
        </w:rPr>
      </w:pPr>
      <w:r w:rsidRPr="009615B7">
        <w:rPr>
          <w:rFonts w:ascii="Arial" w:eastAsia="Times New Roman" w:hAnsi="Arial" w:cs="Arial"/>
          <w:b/>
          <w:bCs/>
          <w:color w:val="000000"/>
          <w:sz w:val="20"/>
          <w:szCs w:val="20"/>
          <w:bdr w:val="none" w:sz="0" w:space="0" w:color="auto" w:frame="1"/>
          <w:lang w:eastAsia="en-GB"/>
        </w:rPr>
        <w:t>Teaching (for example, CPD, recruitment and retention)</w:t>
      </w:r>
    </w:p>
    <w:p w14:paraId="78DBC256" w14:textId="77777777" w:rsidR="009510BF" w:rsidRPr="009615B7" w:rsidRDefault="009510BF" w:rsidP="009510BF">
      <w:pPr>
        <w:spacing w:after="18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Budgeted cost: £ 31000</w:t>
      </w:r>
    </w:p>
    <w:tbl>
      <w:tblPr>
        <w:tblW w:w="0" w:type="auto"/>
        <w:tblCellMar>
          <w:left w:w="0" w:type="dxa"/>
          <w:right w:w="0" w:type="dxa"/>
        </w:tblCellMar>
        <w:tblLook w:val="04A0" w:firstRow="1" w:lastRow="0" w:firstColumn="1" w:lastColumn="0" w:noHBand="0" w:noVBand="1"/>
      </w:tblPr>
      <w:tblGrid>
        <w:gridCol w:w="3546"/>
        <w:gridCol w:w="3918"/>
        <w:gridCol w:w="1542"/>
      </w:tblGrid>
      <w:tr w:rsidR="009510BF" w:rsidRPr="009615B7" w14:paraId="1C769F6E" w14:textId="77777777" w:rsidTr="009510BF">
        <w:tc>
          <w:tcPr>
            <w:tcW w:w="0" w:type="auto"/>
            <w:tcBorders>
              <w:top w:val="single" w:sz="8" w:space="0" w:color="auto"/>
              <w:left w:val="single" w:sz="8" w:space="0" w:color="auto"/>
              <w:bottom w:val="single" w:sz="8" w:space="0" w:color="auto"/>
              <w:right w:val="single" w:sz="8" w:space="0" w:color="auto"/>
            </w:tcBorders>
            <w:shd w:val="clear" w:color="auto" w:fill="D8E2E9"/>
            <w:tcMar>
              <w:top w:w="150" w:type="dxa"/>
              <w:left w:w="150" w:type="dxa"/>
              <w:bottom w:w="150" w:type="dxa"/>
              <w:right w:w="150" w:type="dxa"/>
            </w:tcMar>
            <w:hideMark/>
          </w:tcPr>
          <w:p w14:paraId="21BB65D7"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Activity</w:t>
            </w:r>
          </w:p>
        </w:tc>
        <w:tc>
          <w:tcPr>
            <w:tcW w:w="0" w:type="auto"/>
            <w:tcBorders>
              <w:top w:val="single" w:sz="8" w:space="0" w:color="auto"/>
              <w:left w:val="nil"/>
              <w:bottom w:val="single" w:sz="8" w:space="0" w:color="auto"/>
              <w:right w:val="single" w:sz="8" w:space="0" w:color="auto"/>
            </w:tcBorders>
            <w:shd w:val="clear" w:color="auto" w:fill="D8E2E9"/>
            <w:tcMar>
              <w:top w:w="150" w:type="dxa"/>
              <w:left w:w="150" w:type="dxa"/>
              <w:bottom w:w="150" w:type="dxa"/>
              <w:right w:w="150" w:type="dxa"/>
            </w:tcMar>
            <w:hideMark/>
          </w:tcPr>
          <w:p w14:paraId="2D3EA1AE"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Evidence that supports this approach</w:t>
            </w:r>
          </w:p>
        </w:tc>
        <w:tc>
          <w:tcPr>
            <w:tcW w:w="0" w:type="auto"/>
            <w:tcBorders>
              <w:top w:val="single" w:sz="8" w:space="0" w:color="auto"/>
              <w:left w:val="nil"/>
              <w:bottom w:val="single" w:sz="8" w:space="0" w:color="auto"/>
              <w:right w:val="single" w:sz="8" w:space="0" w:color="auto"/>
            </w:tcBorders>
            <w:shd w:val="clear" w:color="auto" w:fill="D8E2E9"/>
            <w:tcMar>
              <w:top w:w="150" w:type="dxa"/>
              <w:left w:w="150" w:type="dxa"/>
              <w:bottom w:w="150" w:type="dxa"/>
              <w:right w:w="150" w:type="dxa"/>
            </w:tcMar>
            <w:hideMark/>
          </w:tcPr>
          <w:p w14:paraId="56CD4901"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Challenge number(s) addressed</w:t>
            </w:r>
          </w:p>
        </w:tc>
      </w:tr>
      <w:tr w:rsidR="009510BF" w:rsidRPr="009615B7" w14:paraId="7A0EEF65" w14:textId="77777777" w:rsidTr="009510BF">
        <w:tc>
          <w:tcPr>
            <w:tcW w:w="0" w:type="auto"/>
            <w:tcBorders>
              <w:top w:val="nil"/>
              <w:left w:val="single" w:sz="8" w:space="0" w:color="auto"/>
              <w:bottom w:val="single" w:sz="8" w:space="0" w:color="auto"/>
              <w:right w:val="single" w:sz="8" w:space="0" w:color="auto"/>
            </w:tcBorders>
            <w:tcMar>
              <w:top w:w="150" w:type="dxa"/>
              <w:left w:w="150" w:type="dxa"/>
              <w:bottom w:w="150" w:type="dxa"/>
              <w:right w:w="150" w:type="dxa"/>
            </w:tcMar>
            <w:hideMark/>
          </w:tcPr>
          <w:p w14:paraId="0DCF004D"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 Quality First Teaching: People</w:t>
            </w:r>
          </w:p>
          <w:p w14:paraId="594B4C6F"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Recruitment, retention and development of excellent teachers, including subject specialists.</w:t>
            </w:r>
          </w:p>
        </w:tc>
        <w:tc>
          <w:tcPr>
            <w:tcW w:w="0" w:type="auto"/>
            <w:tcBorders>
              <w:top w:val="nil"/>
              <w:left w:val="nil"/>
              <w:bottom w:val="single" w:sz="8" w:space="0" w:color="auto"/>
              <w:right w:val="single" w:sz="8" w:space="0" w:color="auto"/>
            </w:tcBorders>
            <w:tcMar>
              <w:top w:w="150" w:type="dxa"/>
              <w:left w:w="150" w:type="dxa"/>
              <w:bottom w:w="150" w:type="dxa"/>
              <w:right w:w="150" w:type="dxa"/>
            </w:tcMar>
            <w:hideMark/>
          </w:tcPr>
          <w:p w14:paraId="38C01C96"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EEF: “Supporting high quality teaching is pivotal in improving children’s outcomes. High quality teaching can narrow the disadvantage gap. </w:t>
            </w:r>
            <w:hyperlink r:id="rId4" w:history="1">
              <w:r w:rsidRPr="009615B7">
                <w:rPr>
                  <w:rFonts w:ascii="Arial" w:eastAsia="Times New Roman" w:hAnsi="Arial" w:cs="Arial"/>
                  <w:color w:val="EE1A31"/>
                  <w:sz w:val="20"/>
                  <w:szCs w:val="20"/>
                  <w:u w:val="single"/>
                  <w:bdr w:val="none" w:sz="0" w:space="0" w:color="auto" w:frame="1"/>
                  <w:lang w:eastAsia="en-GB"/>
                </w:rPr>
                <w:t>EEF: High quality teaching</w:t>
              </w:r>
            </w:hyperlink>
          </w:p>
        </w:tc>
        <w:tc>
          <w:tcPr>
            <w:tcW w:w="0" w:type="auto"/>
            <w:tcBorders>
              <w:top w:val="nil"/>
              <w:left w:val="nil"/>
              <w:bottom w:val="single" w:sz="8" w:space="0" w:color="auto"/>
              <w:right w:val="single" w:sz="8" w:space="0" w:color="auto"/>
            </w:tcBorders>
            <w:tcMar>
              <w:top w:w="150" w:type="dxa"/>
              <w:left w:w="150" w:type="dxa"/>
              <w:bottom w:w="150" w:type="dxa"/>
              <w:right w:w="150" w:type="dxa"/>
            </w:tcMar>
            <w:hideMark/>
          </w:tcPr>
          <w:p w14:paraId="3D156D4D"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All</w:t>
            </w:r>
          </w:p>
        </w:tc>
      </w:tr>
      <w:tr w:rsidR="009510BF" w:rsidRPr="009615B7" w14:paraId="53E13447" w14:textId="77777777" w:rsidTr="009510BF">
        <w:tc>
          <w:tcPr>
            <w:tcW w:w="0" w:type="auto"/>
            <w:tcBorders>
              <w:top w:val="nil"/>
              <w:left w:val="single" w:sz="8" w:space="0" w:color="auto"/>
              <w:bottom w:val="single" w:sz="8" w:space="0" w:color="auto"/>
              <w:right w:val="single" w:sz="8" w:space="0" w:color="auto"/>
            </w:tcBorders>
            <w:tcMar>
              <w:top w:w="150" w:type="dxa"/>
              <w:left w:w="150" w:type="dxa"/>
              <w:bottom w:w="150" w:type="dxa"/>
              <w:right w:w="150" w:type="dxa"/>
            </w:tcMar>
            <w:hideMark/>
          </w:tcPr>
          <w:p w14:paraId="2A030063"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Quality First Teaching: Training</w:t>
            </w:r>
          </w:p>
          <w:p w14:paraId="503291D5"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Excellent CPD including Q1E trust induction, INSET, trust-wide planning, central team and cross-school support. </w:t>
            </w:r>
            <w:r w:rsidRPr="009615B7">
              <w:rPr>
                <w:rFonts w:ascii="Arial" w:eastAsia="Times New Roman" w:hAnsi="Arial" w:cs="Arial"/>
                <w:b/>
                <w:bCs/>
                <w:color w:val="3C3C3C"/>
                <w:sz w:val="20"/>
                <w:szCs w:val="20"/>
                <w:bdr w:val="none" w:sz="0" w:space="0" w:color="auto" w:frame="1"/>
                <w:lang w:eastAsia="en-GB"/>
              </w:rPr>
              <w:t> </w:t>
            </w:r>
          </w:p>
        </w:tc>
        <w:tc>
          <w:tcPr>
            <w:tcW w:w="0" w:type="auto"/>
            <w:tcBorders>
              <w:top w:val="nil"/>
              <w:left w:val="nil"/>
              <w:bottom w:val="single" w:sz="8" w:space="0" w:color="auto"/>
              <w:right w:val="single" w:sz="8" w:space="0" w:color="auto"/>
            </w:tcBorders>
            <w:tcMar>
              <w:top w:w="150" w:type="dxa"/>
              <w:left w:w="150" w:type="dxa"/>
              <w:bottom w:w="150" w:type="dxa"/>
              <w:right w:w="150" w:type="dxa"/>
            </w:tcMar>
            <w:hideMark/>
          </w:tcPr>
          <w:p w14:paraId="3F11773D"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EEF: “Ensuring every teacher is supported in delivering high-quality teaching is essential to achieving the best outcomes for all pupils, particularly the most disadvantaged.”</w:t>
            </w:r>
          </w:p>
          <w:p w14:paraId="1C18375A" w14:textId="77777777" w:rsidR="009510BF" w:rsidRPr="009615B7" w:rsidRDefault="00770AFA" w:rsidP="009510BF">
            <w:pPr>
              <w:spacing w:after="0" w:line="240" w:lineRule="auto"/>
              <w:textAlignment w:val="baseline"/>
              <w:rPr>
                <w:rFonts w:ascii="Arial" w:eastAsia="Times New Roman" w:hAnsi="Arial" w:cs="Arial"/>
                <w:color w:val="3C3C3C"/>
                <w:sz w:val="20"/>
                <w:szCs w:val="20"/>
                <w:lang w:eastAsia="en-GB"/>
              </w:rPr>
            </w:pPr>
            <w:hyperlink r:id="rId5" w:history="1">
              <w:r w:rsidR="009510BF" w:rsidRPr="009615B7">
                <w:rPr>
                  <w:rFonts w:ascii="Arial" w:eastAsia="Times New Roman" w:hAnsi="Arial" w:cs="Arial"/>
                  <w:color w:val="EE1A31"/>
                  <w:sz w:val="20"/>
                  <w:szCs w:val="20"/>
                  <w:u w:val="single"/>
                  <w:bdr w:val="none" w:sz="0" w:space="0" w:color="auto" w:frame="1"/>
                  <w:lang w:eastAsia="en-GB"/>
                </w:rPr>
                <w:t>EEF: Continuing Professional Development</w:t>
              </w:r>
            </w:hyperlink>
          </w:p>
        </w:tc>
        <w:tc>
          <w:tcPr>
            <w:tcW w:w="0" w:type="auto"/>
            <w:tcBorders>
              <w:top w:val="nil"/>
              <w:left w:val="nil"/>
              <w:bottom w:val="single" w:sz="8" w:space="0" w:color="auto"/>
              <w:right w:val="single" w:sz="8" w:space="0" w:color="auto"/>
            </w:tcBorders>
            <w:tcMar>
              <w:top w:w="150" w:type="dxa"/>
              <w:left w:w="150" w:type="dxa"/>
              <w:bottom w:w="150" w:type="dxa"/>
              <w:right w:w="150" w:type="dxa"/>
            </w:tcMar>
            <w:hideMark/>
          </w:tcPr>
          <w:p w14:paraId="68104984"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All</w:t>
            </w:r>
          </w:p>
        </w:tc>
      </w:tr>
      <w:tr w:rsidR="009510BF" w:rsidRPr="009615B7" w14:paraId="5E82863D" w14:textId="77777777" w:rsidTr="009510BF">
        <w:tc>
          <w:tcPr>
            <w:tcW w:w="0" w:type="auto"/>
            <w:tcBorders>
              <w:top w:val="nil"/>
              <w:left w:val="single" w:sz="8" w:space="0" w:color="auto"/>
              <w:bottom w:val="single" w:sz="8" w:space="0" w:color="auto"/>
              <w:right w:val="single" w:sz="8" w:space="0" w:color="auto"/>
            </w:tcBorders>
            <w:tcMar>
              <w:top w:w="150" w:type="dxa"/>
              <w:left w:w="150" w:type="dxa"/>
              <w:bottom w:w="150" w:type="dxa"/>
              <w:right w:w="150" w:type="dxa"/>
            </w:tcMar>
            <w:hideMark/>
          </w:tcPr>
          <w:p w14:paraId="019F7425"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Quality First Teaching: Curriculum</w:t>
            </w:r>
          </w:p>
          <w:p w14:paraId="5D375594"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 xml:space="preserve">Further development of our </w:t>
            </w:r>
            <w:proofErr w:type="gramStart"/>
            <w:r w:rsidRPr="009615B7">
              <w:rPr>
                <w:rFonts w:ascii="Arial" w:eastAsia="Times New Roman" w:hAnsi="Arial" w:cs="Arial"/>
                <w:color w:val="3C3C3C"/>
                <w:sz w:val="20"/>
                <w:szCs w:val="20"/>
                <w:lang w:eastAsia="en-GB"/>
              </w:rPr>
              <w:t>high quality</w:t>
            </w:r>
            <w:proofErr w:type="gramEnd"/>
            <w:r w:rsidRPr="009615B7">
              <w:rPr>
                <w:rFonts w:ascii="Arial" w:eastAsia="Times New Roman" w:hAnsi="Arial" w:cs="Arial"/>
                <w:color w:val="3C3C3C"/>
                <w:sz w:val="20"/>
                <w:szCs w:val="20"/>
                <w:lang w:eastAsia="en-GB"/>
              </w:rPr>
              <w:t xml:space="preserve"> curriculum incorporating a clear phonics programme; reciprocal reading; Maths Mastery; collaborative learning approach.</w:t>
            </w:r>
          </w:p>
        </w:tc>
        <w:tc>
          <w:tcPr>
            <w:tcW w:w="0" w:type="auto"/>
            <w:tcBorders>
              <w:top w:val="nil"/>
              <w:left w:val="nil"/>
              <w:bottom w:val="single" w:sz="8" w:space="0" w:color="auto"/>
              <w:right w:val="single" w:sz="8" w:space="0" w:color="auto"/>
            </w:tcBorders>
            <w:tcMar>
              <w:top w:w="150" w:type="dxa"/>
              <w:left w:w="150" w:type="dxa"/>
              <w:bottom w:w="150" w:type="dxa"/>
              <w:right w:w="150" w:type="dxa"/>
            </w:tcMar>
            <w:hideMark/>
          </w:tcPr>
          <w:p w14:paraId="2EDAFA11" w14:textId="77777777" w:rsidR="009510BF" w:rsidRPr="009615B7" w:rsidRDefault="00770AFA" w:rsidP="009510BF">
            <w:pPr>
              <w:spacing w:after="0" w:line="240" w:lineRule="auto"/>
              <w:textAlignment w:val="baseline"/>
              <w:rPr>
                <w:rFonts w:ascii="Arial" w:eastAsia="Times New Roman" w:hAnsi="Arial" w:cs="Arial"/>
                <w:color w:val="3C3C3C"/>
                <w:sz w:val="20"/>
                <w:szCs w:val="20"/>
                <w:lang w:eastAsia="en-GB"/>
              </w:rPr>
            </w:pPr>
            <w:hyperlink r:id="rId6" w:history="1">
              <w:r w:rsidR="009510BF" w:rsidRPr="009615B7">
                <w:rPr>
                  <w:rFonts w:ascii="Arial" w:eastAsia="Times New Roman" w:hAnsi="Arial" w:cs="Arial"/>
                  <w:color w:val="EE1A31"/>
                  <w:sz w:val="20"/>
                  <w:szCs w:val="20"/>
                  <w:u w:val="single"/>
                  <w:bdr w:val="none" w:sz="0" w:space="0" w:color="auto" w:frame="1"/>
                  <w:lang w:eastAsia="en-GB"/>
                </w:rPr>
                <w:t>EEF: Phonics</w:t>
              </w:r>
            </w:hyperlink>
            <w:r w:rsidR="009510BF" w:rsidRPr="009615B7">
              <w:rPr>
                <w:rFonts w:ascii="Arial" w:eastAsia="Times New Roman" w:hAnsi="Arial" w:cs="Arial"/>
                <w:color w:val="3C3C3C"/>
                <w:sz w:val="20"/>
                <w:szCs w:val="20"/>
                <w:lang w:eastAsia="en-GB"/>
              </w:rPr>
              <w:t>; </w:t>
            </w:r>
            <w:hyperlink r:id="rId7" w:history="1">
              <w:r w:rsidR="009510BF" w:rsidRPr="009615B7">
                <w:rPr>
                  <w:rFonts w:ascii="Arial" w:eastAsia="Times New Roman" w:hAnsi="Arial" w:cs="Arial"/>
                  <w:color w:val="EE1A31"/>
                  <w:sz w:val="20"/>
                  <w:szCs w:val="20"/>
                  <w:u w:val="single"/>
                  <w:bdr w:val="none" w:sz="0" w:space="0" w:color="auto" w:frame="1"/>
                  <w:lang w:eastAsia="en-GB"/>
                </w:rPr>
                <w:t>EEF: Mastery learning</w:t>
              </w:r>
            </w:hyperlink>
            <w:r w:rsidR="009510BF" w:rsidRPr="009615B7">
              <w:rPr>
                <w:rFonts w:ascii="Arial" w:eastAsia="Times New Roman" w:hAnsi="Arial" w:cs="Arial"/>
                <w:color w:val="3C3C3C"/>
                <w:sz w:val="20"/>
                <w:szCs w:val="20"/>
                <w:lang w:eastAsia="en-GB"/>
              </w:rPr>
              <w:t>;</w:t>
            </w:r>
          </w:p>
          <w:p w14:paraId="21B82150" w14:textId="77777777" w:rsidR="009510BF" w:rsidRPr="009615B7" w:rsidRDefault="00770AFA" w:rsidP="009510BF">
            <w:pPr>
              <w:spacing w:after="0" w:line="240" w:lineRule="auto"/>
              <w:textAlignment w:val="baseline"/>
              <w:rPr>
                <w:rFonts w:ascii="Arial" w:eastAsia="Times New Roman" w:hAnsi="Arial" w:cs="Arial"/>
                <w:color w:val="3C3C3C"/>
                <w:sz w:val="20"/>
                <w:szCs w:val="20"/>
                <w:lang w:eastAsia="en-GB"/>
              </w:rPr>
            </w:pPr>
            <w:hyperlink r:id="rId8" w:history="1">
              <w:r w:rsidR="009510BF" w:rsidRPr="009615B7">
                <w:rPr>
                  <w:rFonts w:ascii="Arial" w:eastAsia="Times New Roman" w:hAnsi="Arial" w:cs="Arial"/>
                  <w:color w:val="EE1A31"/>
                  <w:sz w:val="20"/>
                  <w:szCs w:val="20"/>
                  <w:u w:val="single"/>
                  <w:bdr w:val="none" w:sz="0" w:space="0" w:color="auto" w:frame="1"/>
                  <w:lang w:eastAsia="en-GB"/>
                </w:rPr>
                <w:t>EEF: Reading comprehension strategies</w:t>
              </w:r>
            </w:hyperlink>
          </w:p>
          <w:p w14:paraId="2FE2CA50" w14:textId="77777777" w:rsidR="009510BF" w:rsidRPr="009615B7" w:rsidRDefault="00770AFA" w:rsidP="009510BF">
            <w:pPr>
              <w:spacing w:after="0" w:line="240" w:lineRule="auto"/>
              <w:textAlignment w:val="baseline"/>
              <w:rPr>
                <w:rFonts w:ascii="Arial" w:eastAsia="Times New Roman" w:hAnsi="Arial" w:cs="Arial"/>
                <w:color w:val="3C3C3C"/>
                <w:sz w:val="20"/>
                <w:szCs w:val="20"/>
                <w:lang w:eastAsia="en-GB"/>
              </w:rPr>
            </w:pPr>
            <w:hyperlink r:id="rId9" w:history="1">
              <w:r w:rsidR="009510BF" w:rsidRPr="009615B7">
                <w:rPr>
                  <w:rFonts w:ascii="Arial" w:eastAsia="Times New Roman" w:hAnsi="Arial" w:cs="Arial"/>
                  <w:color w:val="EE1A31"/>
                  <w:sz w:val="20"/>
                  <w:szCs w:val="20"/>
                  <w:u w:val="single"/>
                  <w:bdr w:val="none" w:sz="0" w:space="0" w:color="auto" w:frame="1"/>
                  <w:lang w:eastAsia="en-GB"/>
                </w:rPr>
                <w:t>EEF: Collaborative learning approaches</w:t>
              </w:r>
            </w:hyperlink>
          </w:p>
        </w:tc>
        <w:tc>
          <w:tcPr>
            <w:tcW w:w="0" w:type="auto"/>
            <w:tcBorders>
              <w:top w:val="nil"/>
              <w:left w:val="nil"/>
              <w:bottom w:val="single" w:sz="8" w:space="0" w:color="auto"/>
              <w:right w:val="single" w:sz="8" w:space="0" w:color="auto"/>
            </w:tcBorders>
            <w:tcMar>
              <w:top w:w="150" w:type="dxa"/>
              <w:left w:w="150" w:type="dxa"/>
              <w:bottom w:w="150" w:type="dxa"/>
              <w:right w:w="150" w:type="dxa"/>
            </w:tcMar>
            <w:hideMark/>
          </w:tcPr>
          <w:p w14:paraId="2A782725"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All</w:t>
            </w:r>
          </w:p>
        </w:tc>
      </w:tr>
    </w:tbl>
    <w:p w14:paraId="5064BD28" w14:textId="77777777" w:rsidR="009510BF" w:rsidRPr="009615B7" w:rsidRDefault="009510BF" w:rsidP="009510BF">
      <w:pPr>
        <w:spacing w:before="180" w:after="18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 </w:t>
      </w:r>
    </w:p>
    <w:p w14:paraId="43B9900E"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Targeted academic support (for example, tutoring, one-to-one support structured interventions)</w:t>
      </w:r>
    </w:p>
    <w:p w14:paraId="40D851D6" w14:textId="77777777" w:rsidR="009510BF" w:rsidRPr="009615B7" w:rsidRDefault="009510BF" w:rsidP="009510BF">
      <w:pPr>
        <w:spacing w:before="180" w:after="18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Budgeted cost: £ 39,150</w:t>
      </w:r>
    </w:p>
    <w:tbl>
      <w:tblPr>
        <w:tblW w:w="0" w:type="auto"/>
        <w:tblBorders>
          <w:left w:val="single" w:sz="6" w:space="0" w:color="000000"/>
          <w:bottom w:val="single" w:sz="6" w:space="0" w:color="000000"/>
        </w:tblBorders>
        <w:tblCellMar>
          <w:left w:w="0" w:type="dxa"/>
          <w:right w:w="0" w:type="dxa"/>
        </w:tblCellMar>
        <w:tblLook w:val="04A0" w:firstRow="1" w:lastRow="0" w:firstColumn="1" w:lastColumn="0" w:noHBand="0" w:noVBand="1"/>
      </w:tblPr>
      <w:tblGrid>
        <w:gridCol w:w="4779"/>
        <w:gridCol w:w="2762"/>
        <w:gridCol w:w="1465"/>
      </w:tblGrid>
      <w:tr w:rsidR="009510BF" w:rsidRPr="009615B7" w14:paraId="46F7B79E" w14:textId="77777777" w:rsidTr="009510BF">
        <w:tc>
          <w:tcPr>
            <w:tcW w:w="0" w:type="auto"/>
            <w:tcBorders>
              <w:top w:val="single" w:sz="8" w:space="0" w:color="000000"/>
              <w:left w:val="single" w:sz="8" w:space="0" w:color="000000"/>
              <w:bottom w:val="single" w:sz="8" w:space="0" w:color="000000"/>
              <w:right w:val="single" w:sz="8" w:space="0" w:color="000000"/>
            </w:tcBorders>
            <w:shd w:val="clear" w:color="auto" w:fill="D8E2E9"/>
            <w:tcMar>
              <w:top w:w="150" w:type="dxa"/>
              <w:left w:w="150" w:type="dxa"/>
              <w:bottom w:w="150" w:type="dxa"/>
              <w:right w:w="150" w:type="dxa"/>
            </w:tcMar>
            <w:hideMark/>
          </w:tcPr>
          <w:p w14:paraId="45C85609"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Activity</w:t>
            </w:r>
          </w:p>
        </w:tc>
        <w:tc>
          <w:tcPr>
            <w:tcW w:w="0" w:type="auto"/>
            <w:tcBorders>
              <w:top w:val="single" w:sz="8" w:space="0" w:color="000000"/>
              <w:left w:val="nil"/>
              <w:bottom w:val="single" w:sz="8" w:space="0" w:color="000000"/>
              <w:right w:val="single" w:sz="8" w:space="0" w:color="000000"/>
            </w:tcBorders>
            <w:shd w:val="clear" w:color="auto" w:fill="D8E2E9"/>
            <w:tcMar>
              <w:top w:w="150" w:type="dxa"/>
              <w:left w:w="150" w:type="dxa"/>
              <w:bottom w:w="150" w:type="dxa"/>
              <w:right w:w="150" w:type="dxa"/>
            </w:tcMar>
            <w:hideMark/>
          </w:tcPr>
          <w:p w14:paraId="31996233"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Evidence that supports this approach</w:t>
            </w:r>
          </w:p>
        </w:tc>
        <w:tc>
          <w:tcPr>
            <w:tcW w:w="0" w:type="auto"/>
            <w:tcBorders>
              <w:top w:val="single" w:sz="8" w:space="0" w:color="000000"/>
              <w:left w:val="nil"/>
              <w:bottom w:val="single" w:sz="8" w:space="0" w:color="000000"/>
              <w:right w:val="single" w:sz="8" w:space="0" w:color="000000"/>
            </w:tcBorders>
            <w:shd w:val="clear" w:color="auto" w:fill="D8E2E9"/>
            <w:tcMar>
              <w:top w:w="150" w:type="dxa"/>
              <w:left w:w="150" w:type="dxa"/>
              <w:bottom w:w="150" w:type="dxa"/>
              <w:right w:w="150" w:type="dxa"/>
            </w:tcMar>
            <w:hideMark/>
          </w:tcPr>
          <w:p w14:paraId="64590A94"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Challenge number(s) addressed</w:t>
            </w:r>
          </w:p>
        </w:tc>
      </w:tr>
      <w:tr w:rsidR="009510BF" w:rsidRPr="009615B7" w14:paraId="14378A44" w14:textId="77777777" w:rsidTr="009510BF">
        <w:tc>
          <w:tcPr>
            <w:tcW w:w="0" w:type="auto"/>
            <w:tcBorders>
              <w:top w:val="nil"/>
              <w:left w:val="single" w:sz="8" w:space="0" w:color="000000"/>
              <w:bottom w:val="nil"/>
              <w:right w:val="single" w:sz="8" w:space="0" w:color="000000"/>
            </w:tcBorders>
            <w:tcMar>
              <w:top w:w="150" w:type="dxa"/>
              <w:left w:w="150" w:type="dxa"/>
              <w:bottom w:w="150" w:type="dxa"/>
              <w:right w:w="150" w:type="dxa"/>
            </w:tcMar>
            <w:hideMark/>
          </w:tcPr>
          <w:p w14:paraId="284BF8CC"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Whatever it takes: SEND support:</w:t>
            </w:r>
          </w:p>
          <w:p w14:paraId="05948022"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Support staff are deployed across the school according to need. Targeted interventions are planned for and delivered by trained support staff according to class teacher’s regular assessment. Impact of interventions is regularly reviewed and adapted as needed.</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2D04398C" w14:textId="77777777" w:rsidR="009510BF" w:rsidRPr="009615B7" w:rsidRDefault="009510BF" w:rsidP="009510BF">
            <w:pPr>
              <w:spacing w:after="0" w:line="240" w:lineRule="auto"/>
              <w:jc w:val="both"/>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EEF: “Ensure pupils have access to high quality teaching.”</w:t>
            </w:r>
          </w:p>
          <w:p w14:paraId="1620753F" w14:textId="77777777" w:rsidR="009510BF" w:rsidRPr="009615B7" w:rsidRDefault="009510BF" w:rsidP="009510BF">
            <w:pPr>
              <w:spacing w:after="0" w:line="240" w:lineRule="auto"/>
              <w:jc w:val="both"/>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EEF: “To a great extent, good quality teaching for pupils with SEND is good teaching for all.”</w:t>
            </w:r>
          </w:p>
          <w:p w14:paraId="763EAD01" w14:textId="77777777" w:rsidR="009510BF" w:rsidRPr="009615B7" w:rsidRDefault="00770AFA" w:rsidP="009510BF">
            <w:pPr>
              <w:spacing w:after="0" w:line="240" w:lineRule="auto"/>
              <w:jc w:val="both"/>
              <w:textAlignment w:val="baseline"/>
              <w:rPr>
                <w:rFonts w:ascii="Arial" w:eastAsia="Times New Roman" w:hAnsi="Arial" w:cs="Arial"/>
                <w:color w:val="3C3C3C"/>
                <w:sz w:val="20"/>
                <w:szCs w:val="20"/>
                <w:lang w:eastAsia="en-GB"/>
              </w:rPr>
            </w:pPr>
            <w:hyperlink r:id="rId10" w:history="1">
              <w:r w:rsidR="009510BF" w:rsidRPr="009615B7">
                <w:rPr>
                  <w:rFonts w:ascii="Arial" w:eastAsia="Times New Roman" w:hAnsi="Arial" w:cs="Arial"/>
                  <w:color w:val="EE1A31"/>
                  <w:sz w:val="20"/>
                  <w:szCs w:val="20"/>
                  <w:u w:val="single"/>
                  <w:bdr w:val="none" w:sz="0" w:space="0" w:color="auto" w:frame="1"/>
                  <w:lang w:eastAsia="en-GB"/>
                </w:rPr>
                <w:t>Special Educational Needs in Mainstream Schools |</w:t>
              </w:r>
            </w:hyperlink>
          </w:p>
          <w:p w14:paraId="5D7FE544" w14:textId="77777777" w:rsidR="009510BF" w:rsidRPr="009615B7" w:rsidRDefault="009510BF" w:rsidP="009510BF">
            <w:pPr>
              <w:spacing w:after="0" w:line="240" w:lineRule="auto"/>
              <w:jc w:val="both"/>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EEF: “Use TAs to add value to what teachers do, not replace them.”</w:t>
            </w:r>
          </w:p>
          <w:p w14:paraId="0E8B3CBF" w14:textId="77777777" w:rsidR="009510BF" w:rsidRPr="009615B7" w:rsidRDefault="00770AFA" w:rsidP="009510BF">
            <w:pPr>
              <w:spacing w:after="0" w:line="240" w:lineRule="auto"/>
              <w:textAlignment w:val="baseline"/>
              <w:rPr>
                <w:rFonts w:ascii="Arial" w:eastAsia="Times New Roman" w:hAnsi="Arial" w:cs="Arial"/>
                <w:color w:val="3C3C3C"/>
                <w:sz w:val="20"/>
                <w:szCs w:val="20"/>
                <w:lang w:eastAsia="en-GB"/>
              </w:rPr>
            </w:pPr>
            <w:hyperlink r:id="rId11" w:history="1">
              <w:r w:rsidR="009510BF" w:rsidRPr="009615B7">
                <w:rPr>
                  <w:rFonts w:ascii="Arial" w:eastAsia="Times New Roman" w:hAnsi="Arial" w:cs="Arial"/>
                  <w:color w:val="EE1A31"/>
                  <w:sz w:val="20"/>
                  <w:szCs w:val="20"/>
                  <w:u w:val="single"/>
                  <w:bdr w:val="none" w:sz="0" w:space="0" w:color="auto" w:frame="1"/>
                  <w:lang w:eastAsia="en-GB"/>
                </w:rPr>
                <w:t>Making Best Use of Teaching Assistants | EEF</w:t>
              </w:r>
            </w:hyperlink>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0EA6131A"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lastRenderedPageBreak/>
              <w:t>1</w:t>
            </w:r>
          </w:p>
        </w:tc>
      </w:tr>
      <w:tr w:rsidR="009510BF" w:rsidRPr="009615B7" w14:paraId="1BF9DB9C" w14:textId="77777777" w:rsidTr="009510BF">
        <w:tc>
          <w:tcPr>
            <w:tcW w:w="0" w:type="auto"/>
            <w:tcBorders>
              <w:top w:val="single" w:sz="8" w:space="0" w:color="000000"/>
              <w:left w:val="single" w:sz="8" w:space="0" w:color="000000"/>
              <w:bottom w:val="single" w:sz="8" w:space="0" w:color="auto"/>
              <w:right w:val="single" w:sz="8" w:space="0" w:color="000000"/>
            </w:tcBorders>
            <w:tcMar>
              <w:top w:w="150" w:type="dxa"/>
              <w:left w:w="150" w:type="dxa"/>
              <w:bottom w:w="150" w:type="dxa"/>
              <w:right w:w="150" w:type="dxa"/>
            </w:tcMar>
            <w:hideMark/>
          </w:tcPr>
          <w:p w14:paraId="31C0008F"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Whatever it takes: Recovery:  </w:t>
            </w:r>
            <w:r w:rsidRPr="009615B7">
              <w:rPr>
                <w:rFonts w:ascii="Arial" w:eastAsia="Times New Roman" w:hAnsi="Arial" w:cs="Arial"/>
                <w:color w:val="3C3C3C"/>
                <w:sz w:val="20"/>
                <w:szCs w:val="20"/>
                <w:lang w:eastAsia="en-GB"/>
              </w:rPr>
              <w:t>Additional teaching support for early reading and maths</w:t>
            </w:r>
          </w:p>
        </w:tc>
        <w:tc>
          <w:tcPr>
            <w:tcW w:w="0" w:type="auto"/>
            <w:tcBorders>
              <w:top w:val="nil"/>
              <w:left w:val="nil"/>
              <w:bottom w:val="nil"/>
              <w:right w:val="single" w:sz="8" w:space="0" w:color="000000"/>
            </w:tcBorders>
            <w:tcMar>
              <w:top w:w="150" w:type="dxa"/>
              <w:left w:w="150" w:type="dxa"/>
              <w:bottom w:w="150" w:type="dxa"/>
              <w:right w:w="150" w:type="dxa"/>
            </w:tcMar>
            <w:hideMark/>
          </w:tcPr>
          <w:p w14:paraId="2DE24E15"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EEF: “Small group tuition has an average impact of four months’ additional progress over a year.”</w:t>
            </w:r>
          </w:p>
          <w:p w14:paraId="5DDA5731" w14:textId="77777777" w:rsidR="009510BF" w:rsidRPr="009615B7" w:rsidRDefault="00770AFA" w:rsidP="009510BF">
            <w:pPr>
              <w:spacing w:after="0" w:line="240" w:lineRule="auto"/>
              <w:textAlignment w:val="baseline"/>
              <w:rPr>
                <w:rFonts w:ascii="Arial" w:eastAsia="Times New Roman" w:hAnsi="Arial" w:cs="Arial"/>
                <w:color w:val="3C3C3C"/>
                <w:sz w:val="20"/>
                <w:szCs w:val="20"/>
                <w:lang w:eastAsia="en-GB"/>
              </w:rPr>
            </w:pPr>
            <w:hyperlink r:id="rId12" w:history="1">
              <w:r w:rsidR="009510BF" w:rsidRPr="009615B7">
                <w:rPr>
                  <w:rFonts w:ascii="Arial" w:eastAsia="Times New Roman" w:hAnsi="Arial" w:cs="Arial"/>
                  <w:color w:val="EE1A31"/>
                  <w:sz w:val="20"/>
                  <w:szCs w:val="20"/>
                  <w:u w:val="single"/>
                  <w:bdr w:val="none" w:sz="0" w:space="0" w:color="auto" w:frame="1"/>
                  <w:lang w:eastAsia="en-GB"/>
                </w:rPr>
                <w:t>EEF: Phonics</w:t>
              </w:r>
            </w:hyperlink>
            <w:r w:rsidR="009510BF" w:rsidRPr="009615B7">
              <w:rPr>
                <w:rFonts w:ascii="Arial" w:eastAsia="Times New Roman" w:hAnsi="Arial" w:cs="Arial"/>
                <w:color w:val="3C3C3C"/>
                <w:sz w:val="20"/>
                <w:szCs w:val="20"/>
                <w:lang w:eastAsia="en-GB"/>
              </w:rPr>
              <w:t>;  </w:t>
            </w:r>
            <w:hyperlink r:id="rId13" w:history="1">
              <w:r w:rsidR="009510BF" w:rsidRPr="009615B7">
                <w:rPr>
                  <w:rFonts w:ascii="Arial" w:eastAsia="Times New Roman" w:hAnsi="Arial" w:cs="Arial"/>
                  <w:color w:val="EE1A31"/>
                  <w:sz w:val="20"/>
                  <w:szCs w:val="20"/>
                  <w:u w:val="single"/>
                  <w:bdr w:val="none" w:sz="0" w:space="0" w:color="auto" w:frame="1"/>
                  <w:lang w:eastAsia="en-GB"/>
                </w:rPr>
                <w:t>EEF: Small group tuition</w:t>
              </w:r>
            </w:hyperlink>
          </w:p>
          <w:p w14:paraId="1C4FCB4B" w14:textId="77777777" w:rsidR="009510BF" w:rsidRPr="009615B7" w:rsidRDefault="00770AFA" w:rsidP="009510BF">
            <w:pPr>
              <w:spacing w:after="0" w:line="240" w:lineRule="auto"/>
              <w:textAlignment w:val="baseline"/>
              <w:rPr>
                <w:rFonts w:ascii="Arial" w:eastAsia="Times New Roman" w:hAnsi="Arial" w:cs="Arial"/>
                <w:color w:val="3C3C3C"/>
                <w:sz w:val="20"/>
                <w:szCs w:val="20"/>
                <w:lang w:eastAsia="en-GB"/>
              </w:rPr>
            </w:pPr>
            <w:hyperlink r:id="rId14" w:history="1">
              <w:r w:rsidR="009510BF" w:rsidRPr="009615B7">
                <w:rPr>
                  <w:rFonts w:ascii="Arial" w:eastAsia="Times New Roman" w:hAnsi="Arial" w:cs="Arial"/>
                  <w:color w:val="EE1A31"/>
                  <w:sz w:val="20"/>
                  <w:szCs w:val="20"/>
                  <w:u w:val="single"/>
                  <w:bdr w:val="none" w:sz="0" w:space="0" w:color="auto" w:frame="1"/>
                  <w:lang w:eastAsia="en-GB"/>
                </w:rPr>
                <w:t>EEF: Oral language interventions</w:t>
              </w:r>
            </w:hyperlink>
          </w:p>
        </w:tc>
        <w:tc>
          <w:tcPr>
            <w:tcW w:w="0" w:type="auto"/>
            <w:tcBorders>
              <w:top w:val="nil"/>
              <w:left w:val="nil"/>
              <w:bottom w:val="nil"/>
              <w:right w:val="single" w:sz="8" w:space="0" w:color="000000"/>
            </w:tcBorders>
            <w:tcMar>
              <w:top w:w="150" w:type="dxa"/>
              <w:left w:w="150" w:type="dxa"/>
              <w:bottom w:w="150" w:type="dxa"/>
              <w:right w:w="150" w:type="dxa"/>
            </w:tcMar>
            <w:hideMark/>
          </w:tcPr>
          <w:p w14:paraId="3C36C394"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3</w:t>
            </w:r>
          </w:p>
        </w:tc>
      </w:tr>
      <w:tr w:rsidR="009510BF" w:rsidRPr="009615B7" w14:paraId="1B886A3F" w14:textId="77777777" w:rsidTr="009510BF">
        <w:tc>
          <w:tcPr>
            <w:tcW w:w="0" w:type="auto"/>
            <w:tcBorders>
              <w:top w:val="nil"/>
              <w:left w:val="single" w:sz="8" w:space="0" w:color="auto"/>
              <w:bottom w:val="single" w:sz="8" w:space="0" w:color="auto"/>
              <w:right w:val="single" w:sz="8" w:space="0" w:color="auto"/>
            </w:tcBorders>
            <w:tcMar>
              <w:top w:w="150" w:type="dxa"/>
              <w:left w:w="150" w:type="dxa"/>
              <w:bottom w:w="150" w:type="dxa"/>
              <w:right w:w="150" w:type="dxa"/>
            </w:tcMar>
            <w:hideMark/>
          </w:tcPr>
          <w:p w14:paraId="5B6AB727"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Whatever it takes: Attainment:  </w:t>
            </w:r>
          </w:p>
          <w:p w14:paraId="280137F3"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Year 6 booster groups</w:t>
            </w:r>
          </w:p>
        </w:tc>
        <w:tc>
          <w:tcPr>
            <w:tcW w:w="0" w:type="auto"/>
            <w:tcBorders>
              <w:top w:val="single" w:sz="8" w:space="0" w:color="000000"/>
              <w:left w:val="nil"/>
              <w:bottom w:val="single" w:sz="8" w:space="0" w:color="000000"/>
              <w:right w:val="single" w:sz="8" w:space="0" w:color="000000"/>
            </w:tcBorders>
            <w:tcMar>
              <w:top w:w="150" w:type="dxa"/>
              <w:left w:w="150" w:type="dxa"/>
              <w:bottom w:w="150" w:type="dxa"/>
              <w:right w:w="150" w:type="dxa"/>
            </w:tcMar>
            <w:hideMark/>
          </w:tcPr>
          <w:p w14:paraId="51CC2484"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EEF: “Small group tuition has an average impact of four months’ additional progress over a year.” </w:t>
            </w:r>
            <w:hyperlink r:id="rId15" w:history="1">
              <w:r w:rsidRPr="009615B7">
                <w:rPr>
                  <w:rFonts w:ascii="Arial" w:eastAsia="Times New Roman" w:hAnsi="Arial" w:cs="Arial"/>
                  <w:color w:val="EE1A31"/>
                  <w:sz w:val="20"/>
                  <w:szCs w:val="20"/>
                  <w:u w:val="single"/>
                  <w:bdr w:val="none" w:sz="0" w:space="0" w:color="auto" w:frame="1"/>
                  <w:lang w:eastAsia="en-GB"/>
                </w:rPr>
                <w:t>EEF: Small group tuition</w:t>
              </w:r>
            </w:hyperlink>
          </w:p>
        </w:tc>
        <w:tc>
          <w:tcPr>
            <w:tcW w:w="0" w:type="auto"/>
            <w:tcBorders>
              <w:top w:val="single" w:sz="8" w:space="0" w:color="000000"/>
              <w:left w:val="nil"/>
              <w:bottom w:val="single" w:sz="8" w:space="0" w:color="000000"/>
              <w:right w:val="single" w:sz="8" w:space="0" w:color="000000"/>
            </w:tcBorders>
            <w:tcMar>
              <w:top w:w="150" w:type="dxa"/>
              <w:left w:w="150" w:type="dxa"/>
              <w:bottom w:w="150" w:type="dxa"/>
              <w:right w:w="150" w:type="dxa"/>
            </w:tcMar>
            <w:hideMark/>
          </w:tcPr>
          <w:p w14:paraId="1FA1C17C"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All</w:t>
            </w:r>
          </w:p>
        </w:tc>
      </w:tr>
    </w:tbl>
    <w:p w14:paraId="5B60AF34"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 </w:t>
      </w:r>
    </w:p>
    <w:p w14:paraId="272E4033"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t>Wider strategies (for example, related to attendance, behaviour, wellbeing)</w:t>
      </w:r>
    </w:p>
    <w:p w14:paraId="3461A3FE" w14:textId="77777777" w:rsidR="009510BF" w:rsidRPr="009615B7" w:rsidRDefault="009510BF" w:rsidP="009510BF">
      <w:pPr>
        <w:spacing w:before="180" w:after="18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Budgeted cost: £ 41350</w:t>
      </w:r>
    </w:p>
    <w:tbl>
      <w:tblPr>
        <w:tblW w:w="0" w:type="auto"/>
        <w:tblBorders>
          <w:left w:val="single" w:sz="6" w:space="0" w:color="000000"/>
          <w:bottom w:val="single" w:sz="6" w:space="0" w:color="000000"/>
        </w:tblBorders>
        <w:tblCellMar>
          <w:left w:w="0" w:type="dxa"/>
          <w:right w:w="0" w:type="dxa"/>
        </w:tblCellMar>
        <w:tblLook w:val="04A0" w:firstRow="1" w:lastRow="0" w:firstColumn="1" w:lastColumn="0" w:noHBand="0" w:noVBand="1"/>
      </w:tblPr>
      <w:tblGrid>
        <w:gridCol w:w="4394"/>
        <w:gridCol w:w="2476"/>
        <w:gridCol w:w="2136"/>
      </w:tblGrid>
      <w:tr w:rsidR="009510BF" w:rsidRPr="009615B7" w14:paraId="6550698D" w14:textId="77777777" w:rsidTr="009510BF">
        <w:tc>
          <w:tcPr>
            <w:tcW w:w="0" w:type="auto"/>
            <w:tcBorders>
              <w:top w:val="single" w:sz="8" w:space="0" w:color="000000"/>
              <w:left w:val="single" w:sz="8" w:space="0" w:color="000000"/>
              <w:bottom w:val="single" w:sz="8" w:space="0" w:color="000000"/>
              <w:right w:val="single" w:sz="8" w:space="0" w:color="000000"/>
            </w:tcBorders>
            <w:shd w:val="clear" w:color="auto" w:fill="D8E2E9"/>
            <w:tcMar>
              <w:top w:w="150" w:type="dxa"/>
              <w:left w:w="150" w:type="dxa"/>
              <w:bottom w:w="150" w:type="dxa"/>
              <w:right w:w="150" w:type="dxa"/>
            </w:tcMar>
            <w:hideMark/>
          </w:tcPr>
          <w:p w14:paraId="20DD1B58"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Activity</w:t>
            </w:r>
          </w:p>
        </w:tc>
        <w:tc>
          <w:tcPr>
            <w:tcW w:w="0" w:type="auto"/>
            <w:tcBorders>
              <w:top w:val="single" w:sz="8" w:space="0" w:color="000000"/>
              <w:left w:val="nil"/>
              <w:bottom w:val="single" w:sz="8" w:space="0" w:color="000000"/>
              <w:right w:val="single" w:sz="8" w:space="0" w:color="000000"/>
            </w:tcBorders>
            <w:shd w:val="clear" w:color="auto" w:fill="D8E2E9"/>
            <w:tcMar>
              <w:top w:w="150" w:type="dxa"/>
              <w:left w:w="150" w:type="dxa"/>
              <w:bottom w:w="150" w:type="dxa"/>
              <w:right w:w="150" w:type="dxa"/>
            </w:tcMar>
            <w:hideMark/>
          </w:tcPr>
          <w:p w14:paraId="5D6ED12A"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Evidence that supports this approach</w:t>
            </w:r>
          </w:p>
        </w:tc>
        <w:tc>
          <w:tcPr>
            <w:tcW w:w="0" w:type="auto"/>
            <w:tcBorders>
              <w:top w:val="single" w:sz="8" w:space="0" w:color="000000"/>
              <w:left w:val="nil"/>
              <w:bottom w:val="single" w:sz="8" w:space="0" w:color="000000"/>
              <w:right w:val="single" w:sz="8" w:space="0" w:color="000000"/>
            </w:tcBorders>
            <w:shd w:val="clear" w:color="auto" w:fill="D8E2E9"/>
            <w:tcMar>
              <w:top w:w="150" w:type="dxa"/>
              <w:left w:w="150" w:type="dxa"/>
              <w:bottom w:w="150" w:type="dxa"/>
              <w:right w:w="150" w:type="dxa"/>
            </w:tcMar>
            <w:hideMark/>
          </w:tcPr>
          <w:p w14:paraId="7F5B1C0F"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Challenge number(s) addressed</w:t>
            </w:r>
          </w:p>
        </w:tc>
      </w:tr>
      <w:tr w:rsidR="009510BF" w:rsidRPr="009615B7" w14:paraId="65D1C899"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58EE3B09"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Provision of Family Worker to work with identified children and families</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465BA8ED" w14:textId="77777777" w:rsidR="009510BF" w:rsidRPr="009615B7" w:rsidRDefault="00770AFA" w:rsidP="009510BF">
            <w:pPr>
              <w:spacing w:after="0" w:line="240" w:lineRule="auto"/>
              <w:textAlignment w:val="baseline"/>
              <w:rPr>
                <w:rFonts w:ascii="Arial" w:eastAsia="Times New Roman" w:hAnsi="Arial" w:cs="Arial"/>
                <w:color w:val="3C3C3C"/>
                <w:sz w:val="20"/>
                <w:szCs w:val="20"/>
                <w:lang w:eastAsia="en-GB"/>
              </w:rPr>
            </w:pPr>
            <w:hyperlink r:id="rId16" w:history="1">
              <w:r w:rsidR="009510BF" w:rsidRPr="009615B7">
                <w:rPr>
                  <w:rFonts w:ascii="Arial" w:eastAsia="Times New Roman" w:hAnsi="Arial" w:cs="Arial"/>
                  <w:color w:val="EE1A31"/>
                  <w:sz w:val="20"/>
                  <w:szCs w:val="20"/>
                  <w:u w:val="single"/>
                  <w:bdr w:val="none" w:sz="0" w:space="0" w:color="auto" w:frame="1"/>
                  <w:lang w:eastAsia="en-GB"/>
                </w:rPr>
                <w:t>EEF: Social and emotional learning</w:t>
              </w:r>
            </w:hyperlink>
          </w:p>
          <w:p w14:paraId="456C7213" w14:textId="77777777" w:rsidR="009510BF" w:rsidRPr="009615B7" w:rsidRDefault="00770AFA" w:rsidP="009510BF">
            <w:pPr>
              <w:spacing w:after="0" w:line="240" w:lineRule="auto"/>
              <w:textAlignment w:val="baseline"/>
              <w:rPr>
                <w:rFonts w:ascii="Arial" w:eastAsia="Times New Roman" w:hAnsi="Arial" w:cs="Arial"/>
                <w:color w:val="3C3C3C"/>
                <w:sz w:val="20"/>
                <w:szCs w:val="20"/>
                <w:lang w:eastAsia="en-GB"/>
              </w:rPr>
            </w:pPr>
            <w:hyperlink r:id="rId17" w:history="1">
              <w:r w:rsidR="009510BF" w:rsidRPr="009615B7">
                <w:rPr>
                  <w:rFonts w:ascii="Arial" w:eastAsia="Times New Roman" w:hAnsi="Arial" w:cs="Arial"/>
                  <w:color w:val="EE1A31"/>
                  <w:sz w:val="20"/>
                  <w:szCs w:val="20"/>
                  <w:u w:val="single"/>
                  <w:bdr w:val="none" w:sz="0" w:space="0" w:color="auto" w:frame="1"/>
                  <w:lang w:eastAsia="en-GB"/>
                </w:rPr>
                <w:t>EEF: Parental engagement</w:t>
              </w:r>
            </w:hyperlink>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6C6124E8"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2, 3</w:t>
            </w:r>
          </w:p>
        </w:tc>
      </w:tr>
      <w:tr w:rsidR="009510BF" w:rsidRPr="009615B7" w14:paraId="2259E5E9"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3C097A36"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Provision of Counselling</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52A24148" w14:textId="77777777" w:rsidR="009510BF" w:rsidRPr="009615B7" w:rsidRDefault="00770AFA" w:rsidP="009510BF">
            <w:pPr>
              <w:spacing w:after="0" w:line="240" w:lineRule="auto"/>
              <w:textAlignment w:val="baseline"/>
              <w:rPr>
                <w:rFonts w:ascii="Arial" w:eastAsia="Times New Roman" w:hAnsi="Arial" w:cs="Arial"/>
                <w:color w:val="3C3C3C"/>
                <w:sz w:val="20"/>
                <w:szCs w:val="20"/>
                <w:lang w:eastAsia="en-GB"/>
              </w:rPr>
            </w:pPr>
            <w:hyperlink r:id="rId18" w:history="1">
              <w:r w:rsidR="009510BF" w:rsidRPr="009615B7">
                <w:rPr>
                  <w:rFonts w:ascii="Arial" w:eastAsia="Times New Roman" w:hAnsi="Arial" w:cs="Arial"/>
                  <w:color w:val="EE1A31"/>
                  <w:sz w:val="20"/>
                  <w:szCs w:val="20"/>
                  <w:u w:val="single"/>
                  <w:bdr w:val="none" w:sz="0" w:space="0" w:color="auto" w:frame="1"/>
                  <w:lang w:eastAsia="en-GB"/>
                </w:rPr>
                <w:t>EEF: Social and emotional learning</w:t>
              </w:r>
            </w:hyperlink>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35AF54ED"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All</w:t>
            </w:r>
          </w:p>
        </w:tc>
      </w:tr>
      <w:tr w:rsidR="009510BF" w:rsidRPr="009615B7" w14:paraId="07570E05"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6DD5DF01"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Emotional Literacy Support Assistant (ELSA) to work with identified pupils </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40D90E84" w14:textId="77777777" w:rsidR="009510BF" w:rsidRPr="009615B7" w:rsidRDefault="00770AFA" w:rsidP="009510BF">
            <w:pPr>
              <w:spacing w:after="0" w:line="240" w:lineRule="auto"/>
              <w:textAlignment w:val="baseline"/>
              <w:rPr>
                <w:rFonts w:ascii="Arial" w:eastAsia="Times New Roman" w:hAnsi="Arial" w:cs="Arial"/>
                <w:color w:val="3C3C3C"/>
                <w:sz w:val="20"/>
                <w:szCs w:val="20"/>
                <w:lang w:eastAsia="en-GB"/>
              </w:rPr>
            </w:pPr>
            <w:hyperlink r:id="rId19" w:history="1">
              <w:r w:rsidR="009510BF" w:rsidRPr="009615B7">
                <w:rPr>
                  <w:rFonts w:ascii="Arial" w:eastAsia="Times New Roman" w:hAnsi="Arial" w:cs="Arial"/>
                  <w:color w:val="EE1A31"/>
                  <w:sz w:val="20"/>
                  <w:szCs w:val="20"/>
                  <w:u w:val="single"/>
                  <w:bdr w:val="none" w:sz="0" w:space="0" w:color="auto" w:frame="1"/>
                  <w:lang w:eastAsia="en-GB"/>
                </w:rPr>
                <w:t>EEF: Social and emotional learning</w:t>
              </w:r>
            </w:hyperlink>
          </w:p>
          <w:p w14:paraId="620EC02F" w14:textId="77777777" w:rsidR="009510BF" w:rsidRPr="009615B7" w:rsidRDefault="00770AFA" w:rsidP="009510BF">
            <w:pPr>
              <w:spacing w:after="0" w:line="240" w:lineRule="auto"/>
              <w:textAlignment w:val="baseline"/>
              <w:rPr>
                <w:rFonts w:ascii="Arial" w:eastAsia="Times New Roman" w:hAnsi="Arial" w:cs="Arial"/>
                <w:color w:val="3C3C3C"/>
                <w:sz w:val="20"/>
                <w:szCs w:val="20"/>
                <w:lang w:eastAsia="en-GB"/>
              </w:rPr>
            </w:pPr>
            <w:hyperlink r:id="rId20" w:history="1">
              <w:r w:rsidR="009510BF" w:rsidRPr="009615B7">
                <w:rPr>
                  <w:rFonts w:ascii="Arial" w:eastAsia="Times New Roman" w:hAnsi="Arial" w:cs="Arial"/>
                  <w:color w:val="EE1A31"/>
                  <w:sz w:val="20"/>
                  <w:szCs w:val="20"/>
                  <w:u w:val="single"/>
                  <w:bdr w:val="none" w:sz="0" w:space="0" w:color="auto" w:frame="1"/>
                  <w:lang w:eastAsia="en-GB"/>
                </w:rPr>
                <w:t>EEF: Teaching assistant interventions</w:t>
              </w:r>
            </w:hyperlink>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6AEFA9EE"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All</w:t>
            </w:r>
          </w:p>
        </w:tc>
      </w:tr>
      <w:tr w:rsidR="009510BF" w:rsidRPr="009615B7" w14:paraId="516F4C92"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31C1815A"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Small group trips for ELSA group, and subsidy for general school trips for PP children</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678C21A0" w14:textId="77777777" w:rsidR="009510BF" w:rsidRPr="009615B7" w:rsidRDefault="00770AFA" w:rsidP="009510BF">
            <w:pPr>
              <w:spacing w:after="0" w:line="240" w:lineRule="auto"/>
              <w:textAlignment w:val="baseline"/>
              <w:rPr>
                <w:rFonts w:ascii="Arial" w:eastAsia="Times New Roman" w:hAnsi="Arial" w:cs="Arial"/>
                <w:color w:val="3C3C3C"/>
                <w:sz w:val="20"/>
                <w:szCs w:val="20"/>
                <w:lang w:eastAsia="en-GB"/>
              </w:rPr>
            </w:pPr>
            <w:hyperlink r:id="rId21" w:history="1">
              <w:r w:rsidR="009510BF" w:rsidRPr="009615B7">
                <w:rPr>
                  <w:rFonts w:ascii="Arial" w:eastAsia="Times New Roman" w:hAnsi="Arial" w:cs="Arial"/>
                  <w:color w:val="EE1A31"/>
                  <w:sz w:val="20"/>
                  <w:szCs w:val="20"/>
                  <w:u w:val="single"/>
                  <w:bdr w:val="none" w:sz="0" w:space="0" w:color="auto" w:frame="1"/>
                  <w:lang w:eastAsia="en-GB"/>
                </w:rPr>
                <w:t>EEF: Arts participation</w:t>
              </w:r>
            </w:hyperlink>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05F2DF5B"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4</w:t>
            </w:r>
          </w:p>
        </w:tc>
      </w:tr>
    </w:tbl>
    <w:p w14:paraId="35D964D1"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b/>
          <w:bCs/>
          <w:color w:val="3C3C3C"/>
          <w:sz w:val="20"/>
          <w:szCs w:val="20"/>
          <w:bdr w:val="none" w:sz="0" w:space="0" w:color="auto" w:frame="1"/>
          <w:lang w:eastAsia="en-GB"/>
        </w:rPr>
        <w:br/>
        <w:t>Total budgeted cost: £ 111,500</w:t>
      </w:r>
    </w:p>
    <w:p w14:paraId="6FFD6F5A" w14:textId="77777777" w:rsidR="009510BF" w:rsidRPr="009615B7" w:rsidRDefault="009510BF" w:rsidP="009510BF">
      <w:pPr>
        <w:shd w:val="clear" w:color="auto" w:fill="EE1A31"/>
        <w:spacing w:after="300" w:line="570" w:lineRule="atLeast"/>
        <w:ind w:left="-300" w:firstLine="300"/>
        <w:textAlignment w:val="baseline"/>
        <w:outlineLvl w:val="0"/>
        <w:rPr>
          <w:rFonts w:ascii="Arial" w:eastAsia="Times New Roman" w:hAnsi="Arial" w:cs="Arial"/>
          <w:b/>
          <w:bCs/>
          <w:caps/>
          <w:color w:val="FFFFFF"/>
          <w:kern w:val="36"/>
          <w:sz w:val="20"/>
          <w:szCs w:val="20"/>
          <w:lang w:eastAsia="en-GB"/>
        </w:rPr>
      </w:pPr>
      <w:r w:rsidRPr="009615B7">
        <w:rPr>
          <w:rFonts w:ascii="Arial" w:eastAsia="Times New Roman" w:hAnsi="Arial" w:cs="Arial"/>
          <w:b/>
          <w:bCs/>
          <w:caps/>
          <w:color w:val="FFFFFF"/>
          <w:kern w:val="36"/>
          <w:sz w:val="20"/>
          <w:szCs w:val="20"/>
          <w:lang w:eastAsia="en-GB"/>
        </w:rPr>
        <w:t>PART B: REVIEW OF OUTCOMES IN THE PREVIOUS ACADEMIC YEAR</w:t>
      </w:r>
    </w:p>
    <w:p w14:paraId="68A5D032" w14:textId="77777777" w:rsidR="009510BF" w:rsidRPr="009615B7" w:rsidRDefault="009510BF" w:rsidP="009510BF">
      <w:pPr>
        <w:spacing w:after="300" w:line="240" w:lineRule="auto"/>
        <w:textAlignment w:val="baseline"/>
        <w:outlineLvl w:val="1"/>
        <w:rPr>
          <w:rFonts w:ascii="Arial" w:eastAsia="Times New Roman" w:hAnsi="Arial" w:cs="Arial"/>
          <w:b/>
          <w:bCs/>
          <w:color w:val="000000"/>
          <w:sz w:val="20"/>
          <w:szCs w:val="20"/>
          <w:lang w:eastAsia="en-GB"/>
        </w:rPr>
      </w:pPr>
      <w:r w:rsidRPr="009615B7">
        <w:rPr>
          <w:rFonts w:ascii="Arial" w:eastAsia="Times New Roman" w:hAnsi="Arial" w:cs="Arial"/>
          <w:b/>
          <w:bCs/>
          <w:color w:val="000000"/>
          <w:sz w:val="20"/>
          <w:szCs w:val="20"/>
          <w:lang w:eastAsia="en-GB"/>
        </w:rPr>
        <w:t>Pupil premium strategy outcomes</w:t>
      </w:r>
    </w:p>
    <w:p w14:paraId="3C30FBC9" w14:textId="77777777" w:rsidR="009510BF" w:rsidRPr="009615B7" w:rsidRDefault="009510BF" w:rsidP="009510BF">
      <w:pPr>
        <w:spacing w:after="18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This details the impact that our pupil premium activity had on pupils in the 2020 to 2021 academic year.</w:t>
      </w:r>
    </w:p>
    <w:tbl>
      <w:tblPr>
        <w:tblW w:w="0" w:type="auto"/>
        <w:tblBorders>
          <w:left w:val="single" w:sz="6" w:space="0" w:color="000000"/>
          <w:bottom w:val="single" w:sz="6" w:space="0" w:color="000000"/>
        </w:tblBorders>
        <w:tblCellMar>
          <w:left w:w="0" w:type="dxa"/>
          <w:right w:w="0" w:type="dxa"/>
        </w:tblCellMar>
        <w:tblLook w:val="04A0" w:firstRow="1" w:lastRow="0" w:firstColumn="1" w:lastColumn="0" w:noHBand="0" w:noVBand="1"/>
      </w:tblPr>
      <w:tblGrid>
        <w:gridCol w:w="9006"/>
      </w:tblGrid>
      <w:tr w:rsidR="009510BF" w:rsidRPr="009615B7" w14:paraId="601837ED" w14:textId="77777777" w:rsidTr="009510BF">
        <w:tc>
          <w:tcPr>
            <w:tcW w:w="0" w:type="auto"/>
            <w:tcBorders>
              <w:top w:val="single" w:sz="8" w:space="0" w:color="000000"/>
              <w:left w:val="single" w:sz="8" w:space="0" w:color="000000"/>
              <w:bottom w:val="single" w:sz="8" w:space="0" w:color="000000"/>
              <w:right w:val="single" w:sz="8" w:space="0" w:color="000000"/>
            </w:tcBorders>
            <w:tcMar>
              <w:top w:w="150" w:type="dxa"/>
              <w:left w:w="150" w:type="dxa"/>
              <w:bottom w:w="150" w:type="dxa"/>
              <w:right w:w="150" w:type="dxa"/>
            </w:tcMar>
            <w:hideMark/>
          </w:tcPr>
          <w:p w14:paraId="3E381DE5"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lastRenderedPageBreak/>
              <w:t>The last set of published school data (2018-19) showed that the attainment of disadvantaged pupils at Churchfields was higher than the national average for non-disadvantaged pupils, in reading, writing and maths.</w:t>
            </w:r>
          </w:p>
          <w:p w14:paraId="09DFA5CC"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Due to COVID-19, performance measures have not been published for 2019-20 or 2020-21, and national assessments were not administered. The school did undertake teacher administered tests and we have also carried out diagnostic assessments in specific areas, in order to adjust the curriculum and develop some targeted interventions.</w:t>
            </w:r>
          </w:p>
          <w:p w14:paraId="63E84126"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 xml:space="preserve">In line with the national picture, assessment information suggested that pupils eligible for pupil premium were disproportionately affected by the periods of lock down and typically gaps widened.  The children who attended school regularly made good progress </w:t>
            </w:r>
            <w:proofErr w:type="gramStart"/>
            <w:r w:rsidRPr="009615B7">
              <w:rPr>
                <w:rFonts w:ascii="Arial" w:eastAsia="Times New Roman" w:hAnsi="Arial" w:cs="Arial"/>
                <w:color w:val="3C3C3C"/>
                <w:sz w:val="20"/>
                <w:szCs w:val="20"/>
                <w:lang w:eastAsia="en-GB"/>
              </w:rPr>
              <w:t>and in some cases</w:t>
            </w:r>
            <w:proofErr w:type="gramEnd"/>
            <w:r w:rsidRPr="009615B7">
              <w:rPr>
                <w:rFonts w:ascii="Arial" w:eastAsia="Times New Roman" w:hAnsi="Arial" w:cs="Arial"/>
                <w:color w:val="3C3C3C"/>
                <w:sz w:val="20"/>
                <w:szCs w:val="20"/>
                <w:lang w:eastAsia="en-GB"/>
              </w:rPr>
              <w:t xml:space="preserve"> made more rapid progress than would have otherwise been expected (benefitting from more individual attention as a result of reduced group sizes), However overall the pandemic had a negative impact despite the efforts of the staff team to ensure and build continued engagement with home learning.  It was clear that in some cases there were very significant barriers to accessing home learning, both technical and in terms of family set-up, which made engagement with regular high quality home learning more difficult.</w:t>
            </w:r>
          </w:p>
        </w:tc>
      </w:tr>
    </w:tbl>
    <w:p w14:paraId="1C26793C" w14:textId="77777777" w:rsidR="009510BF" w:rsidRPr="009615B7" w:rsidRDefault="009510BF" w:rsidP="009510BF">
      <w:pPr>
        <w:spacing w:before="375" w:after="300" w:line="240" w:lineRule="auto"/>
        <w:textAlignment w:val="baseline"/>
        <w:outlineLvl w:val="1"/>
        <w:rPr>
          <w:rFonts w:ascii="Arial" w:eastAsia="Times New Roman" w:hAnsi="Arial" w:cs="Arial"/>
          <w:b/>
          <w:bCs/>
          <w:color w:val="000000"/>
          <w:sz w:val="20"/>
          <w:szCs w:val="20"/>
          <w:lang w:eastAsia="en-GB"/>
        </w:rPr>
      </w:pPr>
      <w:r w:rsidRPr="009615B7">
        <w:rPr>
          <w:rFonts w:ascii="Arial" w:eastAsia="Times New Roman" w:hAnsi="Arial" w:cs="Arial"/>
          <w:b/>
          <w:bCs/>
          <w:color w:val="000000"/>
          <w:sz w:val="20"/>
          <w:szCs w:val="20"/>
          <w:lang w:eastAsia="en-GB"/>
        </w:rPr>
        <w:t>Externally provided programmes</w:t>
      </w:r>
    </w:p>
    <w:tbl>
      <w:tblPr>
        <w:tblW w:w="0" w:type="auto"/>
        <w:tblBorders>
          <w:left w:val="single" w:sz="6" w:space="0" w:color="000000"/>
          <w:bottom w:val="single" w:sz="6" w:space="0" w:color="000000"/>
        </w:tblBorders>
        <w:tblCellMar>
          <w:left w:w="0" w:type="dxa"/>
          <w:right w:w="0" w:type="dxa"/>
        </w:tblCellMar>
        <w:tblLook w:val="04A0" w:firstRow="1" w:lastRow="0" w:firstColumn="1" w:lastColumn="0" w:noHBand="0" w:noVBand="1"/>
      </w:tblPr>
      <w:tblGrid>
        <w:gridCol w:w="6455"/>
        <w:gridCol w:w="2551"/>
      </w:tblGrid>
      <w:tr w:rsidR="009510BF" w:rsidRPr="009615B7" w14:paraId="73B37FAD" w14:textId="77777777" w:rsidTr="009510BF">
        <w:tc>
          <w:tcPr>
            <w:tcW w:w="0" w:type="auto"/>
            <w:tcBorders>
              <w:top w:val="single" w:sz="8" w:space="0" w:color="000000"/>
              <w:left w:val="single" w:sz="8" w:space="0" w:color="000000"/>
              <w:bottom w:val="single" w:sz="8" w:space="0" w:color="000000"/>
              <w:right w:val="single" w:sz="8" w:space="0" w:color="000000"/>
            </w:tcBorders>
            <w:shd w:val="clear" w:color="auto" w:fill="D8E2E9"/>
            <w:tcMar>
              <w:top w:w="150" w:type="dxa"/>
              <w:left w:w="150" w:type="dxa"/>
              <w:bottom w:w="150" w:type="dxa"/>
              <w:right w:w="150" w:type="dxa"/>
            </w:tcMar>
            <w:hideMark/>
          </w:tcPr>
          <w:p w14:paraId="0B05A920"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Programme</w:t>
            </w:r>
          </w:p>
        </w:tc>
        <w:tc>
          <w:tcPr>
            <w:tcW w:w="0" w:type="auto"/>
            <w:tcBorders>
              <w:top w:val="single" w:sz="8" w:space="0" w:color="000000"/>
              <w:left w:val="nil"/>
              <w:bottom w:val="single" w:sz="8" w:space="0" w:color="000000"/>
              <w:right w:val="single" w:sz="8" w:space="0" w:color="000000"/>
            </w:tcBorders>
            <w:shd w:val="clear" w:color="auto" w:fill="D8E2E9"/>
            <w:tcMar>
              <w:top w:w="150" w:type="dxa"/>
              <w:left w:w="150" w:type="dxa"/>
              <w:bottom w:w="150" w:type="dxa"/>
              <w:right w:w="150" w:type="dxa"/>
            </w:tcMar>
            <w:hideMark/>
          </w:tcPr>
          <w:p w14:paraId="7335D82F"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Provider</w:t>
            </w:r>
          </w:p>
        </w:tc>
      </w:tr>
      <w:tr w:rsidR="009510BF" w:rsidRPr="009615B7" w14:paraId="2EBD8404"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483612BF"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Guided Peer Evaluation (review programme provided by our multi academy trust)</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5D7A0FD0"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Quality First Education Trust</w:t>
            </w:r>
          </w:p>
        </w:tc>
      </w:tr>
    </w:tbl>
    <w:p w14:paraId="377E650C" w14:textId="77777777" w:rsidR="009510BF" w:rsidRPr="009615B7" w:rsidRDefault="009510BF" w:rsidP="009510BF">
      <w:pPr>
        <w:spacing w:before="375" w:after="300" w:line="240" w:lineRule="auto"/>
        <w:textAlignment w:val="baseline"/>
        <w:outlineLvl w:val="1"/>
        <w:rPr>
          <w:rFonts w:ascii="Arial" w:eastAsia="Times New Roman" w:hAnsi="Arial" w:cs="Arial"/>
          <w:b/>
          <w:bCs/>
          <w:color w:val="000000"/>
          <w:sz w:val="20"/>
          <w:szCs w:val="20"/>
          <w:lang w:eastAsia="en-GB"/>
        </w:rPr>
      </w:pPr>
      <w:r w:rsidRPr="009615B7">
        <w:rPr>
          <w:rFonts w:ascii="Arial" w:eastAsia="Times New Roman" w:hAnsi="Arial" w:cs="Arial"/>
          <w:b/>
          <w:bCs/>
          <w:color w:val="000000"/>
          <w:sz w:val="20"/>
          <w:szCs w:val="20"/>
          <w:lang w:eastAsia="en-GB"/>
        </w:rPr>
        <w:t>Service pupil premium funding</w:t>
      </w:r>
    </w:p>
    <w:tbl>
      <w:tblPr>
        <w:tblW w:w="0" w:type="auto"/>
        <w:tblBorders>
          <w:left w:val="single" w:sz="6" w:space="0" w:color="000000"/>
          <w:bottom w:val="single" w:sz="6" w:space="0" w:color="000000"/>
        </w:tblBorders>
        <w:tblCellMar>
          <w:left w:w="0" w:type="dxa"/>
          <w:right w:w="0" w:type="dxa"/>
        </w:tblCellMar>
        <w:tblLook w:val="04A0" w:firstRow="1" w:lastRow="0" w:firstColumn="1" w:lastColumn="0" w:noHBand="0" w:noVBand="1"/>
      </w:tblPr>
      <w:tblGrid>
        <w:gridCol w:w="7282"/>
        <w:gridCol w:w="1568"/>
      </w:tblGrid>
      <w:tr w:rsidR="009510BF" w:rsidRPr="009615B7" w14:paraId="703771FB" w14:textId="77777777" w:rsidTr="009510BF">
        <w:tc>
          <w:tcPr>
            <w:tcW w:w="0" w:type="auto"/>
            <w:tcBorders>
              <w:top w:val="single" w:sz="8" w:space="0" w:color="000000"/>
              <w:left w:val="single" w:sz="8" w:space="0" w:color="000000"/>
              <w:bottom w:val="single" w:sz="8" w:space="0" w:color="000000"/>
              <w:right w:val="single" w:sz="8" w:space="0" w:color="000000"/>
            </w:tcBorders>
            <w:shd w:val="clear" w:color="auto" w:fill="D8E2E9"/>
            <w:tcMar>
              <w:top w:w="150" w:type="dxa"/>
              <w:left w:w="150" w:type="dxa"/>
              <w:bottom w:w="150" w:type="dxa"/>
              <w:right w:w="150" w:type="dxa"/>
            </w:tcMar>
            <w:hideMark/>
          </w:tcPr>
          <w:p w14:paraId="06F73DCD"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Measure</w:t>
            </w:r>
          </w:p>
        </w:tc>
        <w:tc>
          <w:tcPr>
            <w:tcW w:w="0" w:type="auto"/>
            <w:tcBorders>
              <w:top w:val="single" w:sz="8" w:space="0" w:color="000000"/>
              <w:left w:val="nil"/>
              <w:bottom w:val="single" w:sz="8" w:space="0" w:color="000000"/>
              <w:right w:val="single" w:sz="8" w:space="0" w:color="000000"/>
            </w:tcBorders>
            <w:shd w:val="clear" w:color="auto" w:fill="D8E2E9"/>
            <w:tcMar>
              <w:top w:w="150" w:type="dxa"/>
              <w:left w:w="150" w:type="dxa"/>
              <w:bottom w:w="150" w:type="dxa"/>
              <w:right w:w="150" w:type="dxa"/>
            </w:tcMar>
            <w:hideMark/>
          </w:tcPr>
          <w:p w14:paraId="560A9D0A"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Details</w:t>
            </w:r>
          </w:p>
        </w:tc>
      </w:tr>
      <w:tr w:rsidR="009510BF" w:rsidRPr="009615B7" w14:paraId="4CA369CE"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1A1C92DC"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How did you spend your service pupil premium allocation last academic year?</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553AD252"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Not applicable</w:t>
            </w:r>
          </w:p>
        </w:tc>
      </w:tr>
      <w:tr w:rsidR="009510BF" w:rsidRPr="009615B7" w14:paraId="42832D67" w14:textId="77777777" w:rsidTr="009510BF">
        <w:tc>
          <w:tcPr>
            <w:tcW w:w="0" w:type="auto"/>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14:paraId="341EF1C2"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What was the impact of that spending on service pupil premium eligible pupils?</w:t>
            </w:r>
          </w:p>
        </w:tc>
        <w:tc>
          <w:tcPr>
            <w:tcW w:w="0" w:type="auto"/>
            <w:tcBorders>
              <w:top w:val="nil"/>
              <w:left w:val="nil"/>
              <w:bottom w:val="single" w:sz="8" w:space="0" w:color="000000"/>
              <w:right w:val="single" w:sz="8" w:space="0" w:color="000000"/>
            </w:tcBorders>
            <w:tcMar>
              <w:top w:w="150" w:type="dxa"/>
              <w:left w:w="150" w:type="dxa"/>
              <w:bottom w:w="150" w:type="dxa"/>
              <w:right w:w="150" w:type="dxa"/>
            </w:tcMar>
            <w:hideMark/>
          </w:tcPr>
          <w:p w14:paraId="222D64DD" w14:textId="77777777" w:rsidR="009510BF" w:rsidRPr="009615B7" w:rsidRDefault="009510BF" w:rsidP="009510BF">
            <w:pPr>
              <w:spacing w:after="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Not applicable</w:t>
            </w:r>
          </w:p>
        </w:tc>
      </w:tr>
    </w:tbl>
    <w:p w14:paraId="3D71AE52" w14:textId="77777777" w:rsidR="009510BF" w:rsidRPr="009615B7" w:rsidRDefault="009510BF" w:rsidP="009510BF">
      <w:pPr>
        <w:spacing w:before="180" w:after="180" w:line="240" w:lineRule="auto"/>
        <w:textAlignment w:val="baseline"/>
        <w:rPr>
          <w:rFonts w:ascii="Arial" w:eastAsia="Times New Roman" w:hAnsi="Arial" w:cs="Arial"/>
          <w:color w:val="3C3C3C"/>
          <w:sz w:val="20"/>
          <w:szCs w:val="20"/>
          <w:lang w:eastAsia="en-GB"/>
        </w:rPr>
      </w:pPr>
      <w:r w:rsidRPr="009615B7">
        <w:rPr>
          <w:rFonts w:ascii="Arial" w:eastAsia="Times New Roman" w:hAnsi="Arial" w:cs="Arial"/>
          <w:color w:val="3C3C3C"/>
          <w:sz w:val="20"/>
          <w:szCs w:val="20"/>
          <w:lang w:eastAsia="en-GB"/>
        </w:rPr>
        <w:t> </w:t>
      </w:r>
    </w:p>
    <w:p w14:paraId="7A0415BD" w14:textId="77777777" w:rsidR="000E0F70" w:rsidRPr="009615B7" w:rsidRDefault="000E0F70">
      <w:pPr>
        <w:rPr>
          <w:rFonts w:ascii="Arial" w:hAnsi="Arial" w:cs="Arial"/>
          <w:sz w:val="20"/>
          <w:szCs w:val="20"/>
        </w:rPr>
      </w:pPr>
    </w:p>
    <w:sectPr w:rsidR="000E0F70" w:rsidRPr="00961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BF"/>
    <w:rsid w:val="000E0F70"/>
    <w:rsid w:val="00313A28"/>
    <w:rsid w:val="00770AFA"/>
    <w:rsid w:val="009510BF"/>
    <w:rsid w:val="009615B7"/>
    <w:rsid w:val="00D93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B04F"/>
  <w15:chartTrackingRefBased/>
  <w15:docId w15:val="{18DF8CF1-8520-4CBA-B50D-0D95DC6A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10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510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0B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510B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510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0BF"/>
    <w:rPr>
      <w:b/>
      <w:bCs/>
    </w:rPr>
  </w:style>
  <w:style w:type="character" w:styleId="Hyperlink">
    <w:name w:val="Hyperlink"/>
    <w:basedOn w:val="DefaultParagraphFont"/>
    <w:uiPriority w:val="99"/>
    <w:semiHidden/>
    <w:unhideWhenUsed/>
    <w:rsid w:val="009510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reading-comprehension-strategies" TargetMode="Externa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educationendowmentfoundation.org.uk/education-evidence/teaching-learning-toolkit/social-and-emotional-learning" TargetMode="External"/><Relationship Id="rId3" Type="http://schemas.openxmlformats.org/officeDocument/2006/relationships/webSettings" Target="webSettings.xml"/><Relationship Id="rId21" Type="http://schemas.openxmlformats.org/officeDocument/2006/relationships/hyperlink" Target="https://educationendowmentfoundation.org.uk/education-evidence/teaching-learning-toolkit/arts-participation" TargetMode="External"/><Relationship Id="rId7" Type="http://schemas.openxmlformats.org/officeDocument/2006/relationships/hyperlink" Target="https://educationendowmentfoundation.org.uk/education-evidence/teaching-learning-toolkit/mastery-learning" TargetMode="External"/><Relationship Id="rId12" Type="http://schemas.openxmlformats.org/officeDocument/2006/relationships/hyperlink" Target="https://educationendowmentfoundation.org.uk/education-evidence/teaching-learning-toolkit/phonics%20https:/educationendowmentfoundation.org.uk/education-evidence/teaching-learning-toolkit/phonics" TargetMode="External"/><Relationship Id="rId17" Type="http://schemas.openxmlformats.org/officeDocument/2006/relationships/hyperlink" Target="https://educationendowmentfoundation.org.uk/education-evidence/teaching-learning-toolkit/parental-engagement" TargetMode="External"/><Relationship Id="rId2" Type="http://schemas.openxmlformats.org/officeDocument/2006/relationships/settings" Target="settings.xml"/><Relationship Id="rId16" Type="http://schemas.openxmlformats.org/officeDocument/2006/relationships/hyperlink" Target="https://educationendowmentfoundation.org.uk/education-evidence/teaching-learning-toolkit/social-and-emotional-learning" TargetMode="External"/><Relationship Id="rId20" Type="http://schemas.openxmlformats.org/officeDocument/2006/relationships/hyperlink" Target="https://educationendowmentfoundation.org.uk/education-evidence/teachttps:/educationendowmentfoundation.org.uk/education-evidence/teaching-learning-toolkit/teaching-assistant-interventionshing-learning-toolkit/teaching-assistant-interventions" TargetMode="External"/><Relationship Id="rId1" Type="http://schemas.openxmlformats.org/officeDocument/2006/relationships/styles" Target="styles.xml"/><Relationship Id="rId6" Type="http://schemas.openxmlformats.org/officeDocument/2006/relationships/hyperlink" Target="https://educationendowmentfoundation.org.uk/education-evidence/teaching-learning-toolkit/phonics%20https:/educationendowmentfoundation.org.uk/education-evidence/teaching-learning-toolkit/phonics" TargetMode="External"/><Relationship Id="rId11" Type="http://schemas.openxmlformats.org/officeDocument/2006/relationships/hyperlink" Target="https://educationendowmentfoundation.org.uk/education-evidence/guidance-reports/teaching-assistants" TargetMode="External"/><Relationship Id="rId5" Type="http://schemas.openxmlformats.org/officeDocument/2006/relationships/hyperlink" Target="https://educationendowmentfoundation.org.uk/education-evidence/guidance-reports/effective-professional-development" TargetMode="External"/><Relationship Id="rId15" Type="http://schemas.openxmlformats.org/officeDocument/2006/relationships/hyperlink" Target="https://educationendowmentfoundation.org.uk/education-evidence/teaching-learning-toolkit/small-group-tuition" TargetMode="External"/><Relationship Id="rId23" Type="http://schemas.openxmlformats.org/officeDocument/2006/relationships/theme" Target="theme/theme1.xml"/><Relationship Id="rId10" Type="http://schemas.openxmlformats.org/officeDocument/2006/relationships/hyperlink" Target="https://educationendowmentfoundation.org.uk/education-evidence/guidance-reports/send" TargetMode="External"/><Relationship Id="rId19" Type="http://schemas.openxmlformats.org/officeDocument/2006/relationships/hyperlink" Target="https://educationendowmentfoundation.org.uk/education-evidence/teaching-learning-toolkit/social-and-emotional-learning" TargetMode="External"/><Relationship Id="rId4" Type="http://schemas.openxmlformats.org/officeDocument/2006/relationships/hyperlink" Target="https://educationendowmentfoundation.org.uk/support-for-schools/school-improvement-planning/1-high-quality-teaching" TargetMode="External"/><Relationship Id="rId9" Type="http://schemas.openxmlformats.org/officeDocument/2006/relationships/hyperlink" Target="https://educationendowmentfoundation.org.uk/education-evidence/teaching-learning-toolkit/collaborative-learning-approaches" TargetMode="External"/><Relationship Id="rId14" Type="http://schemas.openxmlformats.org/officeDocument/2006/relationships/hyperlink" Target="https://educationendowmentfoundation.org.uk/education-evidence/teaching-learning-toolkit/oral-language-interven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1681</Words>
  <Characters>9585</Characters>
  <Application>Microsoft Office Word</Application>
  <DocSecurity>0</DocSecurity>
  <Lines>79</Lines>
  <Paragraphs>22</Paragraphs>
  <ScaleCrop>false</ScaleCrop>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Silvester</dc:creator>
  <cp:keywords/>
  <dc:description/>
  <cp:lastModifiedBy>Ann Kelly</cp:lastModifiedBy>
  <cp:revision>3</cp:revision>
  <dcterms:created xsi:type="dcterms:W3CDTF">2022-09-20T09:14:00Z</dcterms:created>
  <dcterms:modified xsi:type="dcterms:W3CDTF">2022-10-06T12:20:00Z</dcterms:modified>
</cp:coreProperties>
</file>